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E3" w:rsidRPr="001C77A5" w:rsidRDefault="00094818">
      <w:pPr>
        <w:spacing w:line="560" w:lineRule="exact"/>
        <w:jc w:val="center"/>
        <w:rPr>
          <w:rFonts w:ascii="方正小标宋_GBK" w:eastAsia="方正小标宋_GBK"/>
          <w:sz w:val="44"/>
          <w:szCs w:val="44"/>
        </w:rPr>
      </w:pPr>
      <w:r w:rsidRPr="001C77A5">
        <w:rPr>
          <w:rFonts w:ascii="方正小标宋_GBK" w:eastAsia="方正小标宋_GBK" w:hint="eastAsia"/>
          <w:sz w:val="44"/>
          <w:szCs w:val="44"/>
        </w:rPr>
        <w:t>苏州市吴江区参保人员国谈药待遇</w:t>
      </w:r>
    </w:p>
    <w:p w:rsidR="00E10DE3" w:rsidRPr="001C77A5" w:rsidRDefault="00094818">
      <w:pPr>
        <w:spacing w:line="560" w:lineRule="exact"/>
        <w:jc w:val="center"/>
        <w:rPr>
          <w:rFonts w:ascii="方正小标宋_GBK" w:eastAsia="方正小标宋_GBK"/>
          <w:sz w:val="44"/>
          <w:szCs w:val="44"/>
        </w:rPr>
      </w:pPr>
      <w:r w:rsidRPr="001C77A5">
        <w:rPr>
          <w:rFonts w:ascii="方正小标宋_GBK" w:eastAsia="方正小标宋_GBK" w:hint="eastAsia"/>
          <w:sz w:val="44"/>
          <w:szCs w:val="44"/>
        </w:rPr>
        <w:t>登记业务宣传</w:t>
      </w:r>
    </w:p>
    <w:p w:rsidR="00E10DE3" w:rsidRPr="001C77A5" w:rsidRDefault="00E10DE3">
      <w:pPr>
        <w:spacing w:line="560" w:lineRule="exact"/>
        <w:ind w:firstLineChars="200" w:firstLine="640"/>
        <w:jc w:val="left"/>
        <w:rPr>
          <w:rFonts w:ascii="黑体" w:eastAsia="黑体" w:hAnsi="黑体"/>
          <w:sz w:val="32"/>
          <w:szCs w:val="32"/>
        </w:rPr>
      </w:pPr>
    </w:p>
    <w:p w:rsidR="00E10DE3" w:rsidRPr="001C77A5" w:rsidRDefault="00094818">
      <w:pPr>
        <w:spacing w:line="560" w:lineRule="exact"/>
        <w:ind w:firstLineChars="200" w:firstLine="640"/>
        <w:jc w:val="left"/>
        <w:rPr>
          <w:rFonts w:ascii="黑体" w:eastAsia="黑体" w:hAnsi="黑体"/>
          <w:sz w:val="32"/>
          <w:szCs w:val="32"/>
        </w:rPr>
      </w:pPr>
      <w:r w:rsidRPr="001C77A5">
        <w:rPr>
          <w:rFonts w:ascii="黑体" w:eastAsia="黑体" w:hAnsi="黑体" w:hint="eastAsia"/>
          <w:sz w:val="32"/>
          <w:szCs w:val="32"/>
        </w:rPr>
        <w:t>一、范围对象</w:t>
      </w:r>
    </w:p>
    <w:p w:rsidR="00E10DE3" w:rsidRPr="001C77A5" w:rsidRDefault="00094818">
      <w:pPr>
        <w:spacing w:line="560" w:lineRule="exact"/>
        <w:ind w:firstLineChars="200" w:firstLine="640"/>
        <w:jc w:val="left"/>
        <w:rPr>
          <w:rFonts w:ascii="仿宋_GB2312" w:eastAsia="仿宋_GB2312"/>
          <w:sz w:val="32"/>
          <w:szCs w:val="32"/>
        </w:rPr>
      </w:pPr>
      <w:r w:rsidRPr="001C77A5">
        <w:rPr>
          <w:rFonts w:ascii="仿宋_GB2312" w:eastAsia="仿宋_GB2312" w:hint="eastAsia"/>
          <w:sz w:val="32"/>
          <w:szCs w:val="32"/>
        </w:rPr>
        <w:t>苏州市吴江区职工基本医疗保险、城乡居民基本医疗保险参保人员。</w:t>
      </w:r>
    </w:p>
    <w:p w:rsidR="00E10DE3" w:rsidRPr="001C77A5" w:rsidRDefault="00094818">
      <w:pPr>
        <w:spacing w:line="560" w:lineRule="exact"/>
        <w:ind w:firstLineChars="200" w:firstLine="640"/>
        <w:rPr>
          <w:rFonts w:ascii="黑体" w:eastAsia="黑体" w:hAnsi="黑体"/>
          <w:sz w:val="32"/>
          <w:szCs w:val="32"/>
        </w:rPr>
      </w:pPr>
      <w:r w:rsidRPr="001C77A5">
        <w:rPr>
          <w:rFonts w:ascii="黑体" w:eastAsia="黑体" w:hAnsi="黑体" w:hint="eastAsia"/>
          <w:sz w:val="32"/>
          <w:szCs w:val="32"/>
        </w:rPr>
        <w:t>二、“双通道”管理及单独支付药品范围</w:t>
      </w:r>
    </w:p>
    <w:p w:rsidR="00E10DE3" w:rsidRPr="001C77A5" w:rsidRDefault="00094818">
      <w:pPr>
        <w:spacing w:line="560" w:lineRule="exact"/>
        <w:ind w:firstLineChars="200" w:firstLine="640"/>
        <w:rPr>
          <w:rFonts w:ascii="仿宋_GB2312" w:eastAsia="仿宋_GB2312"/>
          <w:sz w:val="32"/>
          <w:szCs w:val="32"/>
        </w:rPr>
      </w:pPr>
      <w:r w:rsidRPr="001C77A5">
        <w:rPr>
          <w:rFonts w:ascii="仿宋_GB2312" w:eastAsia="仿宋_GB2312" w:hint="eastAsia"/>
          <w:sz w:val="32"/>
          <w:szCs w:val="32"/>
        </w:rPr>
        <w:t>国谈药“双通道”用药保障机制，即通过定点医疗机构和定点零售药店两个渠道，满足国谈药供应保障、临床使用等方面的合理需求，并同步纳入医保支付的机制。</w:t>
      </w:r>
    </w:p>
    <w:tbl>
      <w:tblPr>
        <w:tblStyle w:val="a6"/>
        <w:tblW w:w="8505" w:type="dxa"/>
        <w:tblInd w:w="108" w:type="dxa"/>
        <w:tblLook w:val="04A0"/>
      </w:tblPr>
      <w:tblGrid>
        <w:gridCol w:w="1134"/>
        <w:gridCol w:w="1276"/>
        <w:gridCol w:w="1843"/>
        <w:gridCol w:w="2410"/>
        <w:gridCol w:w="1842"/>
      </w:tblGrid>
      <w:tr w:rsidR="00E10DE3" w:rsidRPr="001C77A5" w:rsidTr="00E918AA">
        <w:trPr>
          <w:trHeight w:hRule="exact" w:val="567"/>
        </w:trPr>
        <w:tc>
          <w:tcPr>
            <w:tcW w:w="1134" w:type="dxa"/>
            <w:vMerge w:val="restart"/>
            <w:vAlign w:val="center"/>
          </w:tcPr>
          <w:p w:rsidR="00E10DE3" w:rsidRPr="001C77A5" w:rsidRDefault="00094818" w:rsidP="00E918AA">
            <w:pPr>
              <w:spacing w:line="240" w:lineRule="exact"/>
              <w:jc w:val="center"/>
              <w:rPr>
                <w:rFonts w:asciiTheme="minorEastAsia" w:hAnsiTheme="minorEastAsia"/>
                <w:b/>
                <w:szCs w:val="21"/>
              </w:rPr>
            </w:pPr>
            <w:r w:rsidRPr="001C77A5">
              <w:rPr>
                <w:rFonts w:asciiTheme="minorEastAsia" w:hAnsiTheme="minorEastAsia"/>
                <w:b/>
                <w:szCs w:val="21"/>
              </w:rPr>
              <w:t>国</w:t>
            </w:r>
          </w:p>
          <w:p w:rsidR="00E10DE3" w:rsidRPr="001C77A5" w:rsidRDefault="00094818" w:rsidP="00E918AA">
            <w:pPr>
              <w:spacing w:line="240" w:lineRule="exact"/>
              <w:jc w:val="center"/>
              <w:rPr>
                <w:rFonts w:asciiTheme="minorEastAsia" w:hAnsiTheme="minorEastAsia"/>
                <w:b/>
                <w:szCs w:val="21"/>
              </w:rPr>
            </w:pPr>
            <w:r w:rsidRPr="001C77A5">
              <w:rPr>
                <w:rFonts w:asciiTheme="minorEastAsia" w:hAnsiTheme="minorEastAsia"/>
                <w:b/>
                <w:szCs w:val="21"/>
              </w:rPr>
              <w:t>谈</w:t>
            </w:r>
          </w:p>
          <w:p w:rsidR="00E10DE3" w:rsidRPr="001C77A5" w:rsidRDefault="00094818" w:rsidP="00E918AA">
            <w:pPr>
              <w:spacing w:line="240" w:lineRule="exact"/>
              <w:jc w:val="center"/>
              <w:rPr>
                <w:rFonts w:asciiTheme="minorEastAsia" w:hAnsiTheme="minorEastAsia"/>
                <w:szCs w:val="21"/>
              </w:rPr>
            </w:pPr>
            <w:r w:rsidRPr="001C77A5">
              <w:rPr>
                <w:rFonts w:asciiTheme="minorEastAsia" w:hAnsiTheme="minorEastAsia"/>
                <w:b/>
                <w:szCs w:val="21"/>
              </w:rPr>
              <w:t>药</w:t>
            </w:r>
          </w:p>
        </w:tc>
        <w:tc>
          <w:tcPr>
            <w:tcW w:w="1276" w:type="dxa"/>
            <w:vMerge w:val="restart"/>
            <w:vAlign w:val="center"/>
          </w:tcPr>
          <w:p w:rsidR="00E10DE3" w:rsidRPr="001C77A5" w:rsidRDefault="00094818" w:rsidP="00E918AA">
            <w:pPr>
              <w:spacing w:line="240" w:lineRule="exact"/>
              <w:jc w:val="center"/>
              <w:rPr>
                <w:rFonts w:asciiTheme="minorEastAsia" w:hAnsiTheme="minorEastAsia"/>
                <w:szCs w:val="21"/>
              </w:rPr>
            </w:pPr>
            <w:r w:rsidRPr="001C77A5">
              <w:rPr>
                <w:rFonts w:asciiTheme="minorEastAsia" w:hAnsiTheme="minorEastAsia"/>
                <w:szCs w:val="21"/>
              </w:rPr>
              <w:t>“双通道”药品管理</w:t>
            </w:r>
          </w:p>
        </w:tc>
        <w:tc>
          <w:tcPr>
            <w:tcW w:w="1843" w:type="dxa"/>
            <w:vMerge w:val="restart"/>
            <w:vAlign w:val="center"/>
          </w:tcPr>
          <w:p w:rsidR="00E10DE3" w:rsidRPr="001C77A5" w:rsidRDefault="00094818" w:rsidP="00E918AA">
            <w:pPr>
              <w:spacing w:line="240" w:lineRule="exact"/>
              <w:jc w:val="center"/>
              <w:rPr>
                <w:rFonts w:asciiTheme="minorEastAsia" w:hAnsiTheme="minorEastAsia"/>
                <w:szCs w:val="21"/>
              </w:rPr>
            </w:pPr>
            <w:r w:rsidRPr="001C77A5">
              <w:rPr>
                <w:rFonts w:asciiTheme="minorEastAsia" w:hAnsiTheme="minorEastAsia"/>
                <w:szCs w:val="21"/>
              </w:rPr>
              <w:t>实行单独支付</w:t>
            </w:r>
          </w:p>
        </w:tc>
        <w:tc>
          <w:tcPr>
            <w:tcW w:w="2410" w:type="dxa"/>
            <w:vAlign w:val="center"/>
          </w:tcPr>
          <w:p w:rsidR="00E10DE3" w:rsidRPr="001C77A5" w:rsidRDefault="00094818" w:rsidP="00E918AA">
            <w:pPr>
              <w:spacing w:line="240" w:lineRule="exact"/>
              <w:jc w:val="center"/>
              <w:rPr>
                <w:rFonts w:asciiTheme="minorEastAsia" w:hAnsiTheme="minorEastAsia"/>
                <w:szCs w:val="21"/>
              </w:rPr>
            </w:pPr>
            <w:r w:rsidRPr="001C77A5">
              <w:rPr>
                <w:rFonts w:asciiTheme="minorEastAsia" w:hAnsiTheme="minorEastAsia"/>
                <w:szCs w:val="21"/>
              </w:rPr>
              <w:t>纳入门特项目</w:t>
            </w:r>
          </w:p>
          <w:p w:rsidR="00E10DE3" w:rsidRPr="001C77A5" w:rsidRDefault="00094818" w:rsidP="00E918AA">
            <w:pPr>
              <w:spacing w:line="240" w:lineRule="exact"/>
              <w:jc w:val="center"/>
              <w:rPr>
                <w:rFonts w:asciiTheme="minorEastAsia" w:hAnsiTheme="minorEastAsia"/>
                <w:szCs w:val="21"/>
              </w:rPr>
            </w:pPr>
            <w:r w:rsidRPr="001C77A5">
              <w:rPr>
                <w:rFonts w:asciiTheme="minorEastAsia" w:hAnsiTheme="minorEastAsia"/>
                <w:szCs w:val="21"/>
              </w:rPr>
              <w:t>用药范围药品</w:t>
            </w:r>
          </w:p>
        </w:tc>
        <w:tc>
          <w:tcPr>
            <w:tcW w:w="1842" w:type="dxa"/>
            <w:vMerge w:val="restart"/>
            <w:vAlign w:val="center"/>
          </w:tcPr>
          <w:p w:rsidR="00E10DE3" w:rsidRPr="001C77A5" w:rsidRDefault="00094818" w:rsidP="00E918AA">
            <w:pPr>
              <w:spacing w:line="240" w:lineRule="exact"/>
              <w:jc w:val="center"/>
              <w:rPr>
                <w:rFonts w:asciiTheme="minorEastAsia" w:hAnsiTheme="minorEastAsia"/>
                <w:szCs w:val="21"/>
              </w:rPr>
            </w:pPr>
            <w:r w:rsidRPr="001C77A5">
              <w:rPr>
                <w:rFonts w:asciiTheme="minorEastAsia" w:hAnsiTheme="minorEastAsia"/>
                <w:szCs w:val="21"/>
              </w:rPr>
              <w:t>“四定管理”</w:t>
            </w:r>
          </w:p>
        </w:tc>
      </w:tr>
      <w:tr w:rsidR="00E10DE3" w:rsidRPr="001C77A5" w:rsidTr="00E918AA">
        <w:trPr>
          <w:trHeight w:hRule="exact" w:val="567"/>
        </w:trPr>
        <w:tc>
          <w:tcPr>
            <w:tcW w:w="1134" w:type="dxa"/>
            <w:vMerge/>
            <w:vAlign w:val="center"/>
          </w:tcPr>
          <w:p w:rsidR="00E10DE3" w:rsidRPr="001C77A5" w:rsidRDefault="00E10DE3" w:rsidP="00E918AA">
            <w:pPr>
              <w:spacing w:line="240" w:lineRule="exact"/>
              <w:jc w:val="center"/>
              <w:rPr>
                <w:rFonts w:asciiTheme="minorEastAsia" w:hAnsiTheme="minorEastAsia"/>
                <w:szCs w:val="21"/>
              </w:rPr>
            </w:pPr>
          </w:p>
        </w:tc>
        <w:tc>
          <w:tcPr>
            <w:tcW w:w="1276" w:type="dxa"/>
            <w:vMerge/>
            <w:vAlign w:val="center"/>
          </w:tcPr>
          <w:p w:rsidR="00E10DE3" w:rsidRPr="001C77A5" w:rsidRDefault="00E10DE3" w:rsidP="00E918AA">
            <w:pPr>
              <w:spacing w:line="240" w:lineRule="exact"/>
              <w:jc w:val="center"/>
              <w:rPr>
                <w:rFonts w:asciiTheme="minorEastAsia" w:hAnsiTheme="minorEastAsia"/>
                <w:szCs w:val="21"/>
              </w:rPr>
            </w:pPr>
          </w:p>
        </w:tc>
        <w:tc>
          <w:tcPr>
            <w:tcW w:w="1843" w:type="dxa"/>
            <w:vMerge/>
            <w:vAlign w:val="center"/>
          </w:tcPr>
          <w:p w:rsidR="00E10DE3" w:rsidRPr="001C77A5" w:rsidRDefault="00E10DE3" w:rsidP="00E918AA">
            <w:pPr>
              <w:spacing w:line="240" w:lineRule="exact"/>
              <w:jc w:val="center"/>
              <w:rPr>
                <w:rFonts w:asciiTheme="minorEastAsia" w:hAnsiTheme="minorEastAsia"/>
                <w:szCs w:val="21"/>
              </w:rPr>
            </w:pPr>
          </w:p>
        </w:tc>
        <w:tc>
          <w:tcPr>
            <w:tcW w:w="2410" w:type="dxa"/>
            <w:vAlign w:val="center"/>
          </w:tcPr>
          <w:p w:rsidR="00E10DE3" w:rsidRPr="001C77A5" w:rsidRDefault="00094818" w:rsidP="00E918AA">
            <w:pPr>
              <w:spacing w:line="240" w:lineRule="exact"/>
              <w:jc w:val="center"/>
              <w:rPr>
                <w:rFonts w:asciiTheme="minorEastAsia" w:hAnsiTheme="minorEastAsia"/>
                <w:szCs w:val="21"/>
              </w:rPr>
            </w:pPr>
            <w:r w:rsidRPr="001C77A5">
              <w:rPr>
                <w:rFonts w:asciiTheme="minorEastAsia" w:hAnsiTheme="minorEastAsia"/>
                <w:szCs w:val="21"/>
              </w:rPr>
              <w:t>纳入国谈药门诊</w:t>
            </w:r>
          </w:p>
          <w:p w:rsidR="00E10DE3" w:rsidRPr="001C77A5" w:rsidRDefault="00094818" w:rsidP="00E918AA">
            <w:pPr>
              <w:spacing w:line="240" w:lineRule="exact"/>
              <w:jc w:val="center"/>
              <w:rPr>
                <w:rFonts w:asciiTheme="minorEastAsia" w:hAnsiTheme="minorEastAsia"/>
                <w:szCs w:val="21"/>
              </w:rPr>
            </w:pPr>
            <w:r w:rsidRPr="001C77A5">
              <w:rPr>
                <w:rFonts w:asciiTheme="minorEastAsia" w:hAnsiTheme="minorEastAsia"/>
                <w:szCs w:val="21"/>
              </w:rPr>
              <w:t>专项保障药品</w:t>
            </w:r>
          </w:p>
        </w:tc>
        <w:tc>
          <w:tcPr>
            <w:tcW w:w="1842" w:type="dxa"/>
            <w:vMerge/>
            <w:vAlign w:val="center"/>
          </w:tcPr>
          <w:p w:rsidR="00E10DE3" w:rsidRPr="001C77A5" w:rsidRDefault="00E10DE3" w:rsidP="00E918AA">
            <w:pPr>
              <w:spacing w:line="240" w:lineRule="exact"/>
              <w:jc w:val="center"/>
              <w:rPr>
                <w:rFonts w:asciiTheme="minorEastAsia" w:hAnsiTheme="minorEastAsia"/>
                <w:szCs w:val="21"/>
              </w:rPr>
            </w:pPr>
          </w:p>
        </w:tc>
      </w:tr>
      <w:tr w:rsidR="00E10DE3" w:rsidRPr="001C77A5" w:rsidTr="00E918AA">
        <w:trPr>
          <w:trHeight w:hRule="exact" w:val="567"/>
        </w:trPr>
        <w:tc>
          <w:tcPr>
            <w:tcW w:w="1134" w:type="dxa"/>
            <w:vMerge/>
            <w:vAlign w:val="center"/>
          </w:tcPr>
          <w:p w:rsidR="00E10DE3" w:rsidRPr="001C77A5" w:rsidRDefault="00E10DE3" w:rsidP="00E918AA">
            <w:pPr>
              <w:spacing w:line="240" w:lineRule="exact"/>
              <w:jc w:val="center"/>
              <w:rPr>
                <w:rFonts w:asciiTheme="minorEastAsia" w:hAnsiTheme="minorEastAsia"/>
                <w:szCs w:val="21"/>
              </w:rPr>
            </w:pPr>
          </w:p>
        </w:tc>
        <w:tc>
          <w:tcPr>
            <w:tcW w:w="1276" w:type="dxa"/>
            <w:vMerge/>
            <w:vAlign w:val="center"/>
          </w:tcPr>
          <w:p w:rsidR="00E10DE3" w:rsidRPr="001C77A5" w:rsidRDefault="00E10DE3" w:rsidP="00E918AA">
            <w:pPr>
              <w:spacing w:line="240" w:lineRule="exact"/>
              <w:jc w:val="center"/>
              <w:rPr>
                <w:rFonts w:asciiTheme="minorEastAsia" w:hAnsiTheme="minorEastAsia"/>
                <w:szCs w:val="21"/>
              </w:rPr>
            </w:pPr>
          </w:p>
        </w:tc>
        <w:tc>
          <w:tcPr>
            <w:tcW w:w="4253" w:type="dxa"/>
            <w:gridSpan w:val="2"/>
            <w:vAlign w:val="center"/>
          </w:tcPr>
          <w:p w:rsidR="00E10DE3" w:rsidRPr="001C77A5" w:rsidRDefault="00094818" w:rsidP="00E918AA">
            <w:pPr>
              <w:spacing w:line="240" w:lineRule="exact"/>
              <w:jc w:val="center"/>
              <w:rPr>
                <w:rFonts w:asciiTheme="minorEastAsia" w:hAnsiTheme="minorEastAsia"/>
                <w:szCs w:val="21"/>
              </w:rPr>
            </w:pPr>
            <w:r w:rsidRPr="001C77A5">
              <w:rPr>
                <w:rFonts w:asciiTheme="minorEastAsia" w:hAnsiTheme="minorEastAsia"/>
                <w:szCs w:val="21"/>
              </w:rPr>
              <w:t>仅按双通道管理</w:t>
            </w:r>
          </w:p>
        </w:tc>
        <w:tc>
          <w:tcPr>
            <w:tcW w:w="1842" w:type="dxa"/>
            <w:vMerge w:val="restart"/>
            <w:vAlign w:val="center"/>
          </w:tcPr>
          <w:p w:rsidR="00E10DE3" w:rsidRPr="001C77A5" w:rsidRDefault="00094818" w:rsidP="00E918AA">
            <w:pPr>
              <w:spacing w:line="240" w:lineRule="exact"/>
              <w:jc w:val="center"/>
              <w:rPr>
                <w:rFonts w:asciiTheme="minorEastAsia" w:hAnsiTheme="minorEastAsia"/>
                <w:szCs w:val="21"/>
              </w:rPr>
            </w:pPr>
            <w:r w:rsidRPr="001C77A5">
              <w:rPr>
                <w:rFonts w:asciiTheme="minorEastAsia" w:hAnsiTheme="minorEastAsia"/>
                <w:szCs w:val="21"/>
              </w:rPr>
              <w:t>常规管理药品</w:t>
            </w:r>
          </w:p>
        </w:tc>
      </w:tr>
      <w:tr w:rsidR="00E10DE3" w:rsidRPr="001C77A5" w:rsidTr="00E918AA">
        <w:trPr>
          <w:trHeight w:hRule="exact" w:val="567"/>
        </w:trPr>
        <w:tc>
          <w:tcPr>
            <w:tcW w:w="1134" w:type="dxa"/>
            <w:vMerge/>
            <w:vAlign w:val="center"/>
          </w:tcPr>
          <w:p w:rsidR="00E10DE3" w:rsidRPr="001C77A5" w:rsidRDefault="00E10DE3" w:rsidP="00E918AA">
            <w:pPr>
              <w:spacing w:line="240" w:lineRule="exact"/>
              <w:jc w:val="center"/>
              <w:rPr>
                <w:rFonts w:asciiTheme="minorEastAsia" w:hAnsiTheme="minorEastAsia"/>
                <w:szCs w:val="21"/>
              </w:rPr>
            </w:pPr>
          </w:p>
        </w:tc>
        <w:tc>
          <w:tcPr>
            <w:tcW w:w="5529" w:type="dxa"/>
            <w:gridSpan w:val="3"/>
            <w:vAlign w:val="center"/>
          </w:tcPr>
          <w:p w:rsidR="00E10DE3" w:rsidRPr="001C77A5" w:rsidRDefault="00094818" w:rsidP="00E918AA">
            <w:pPr>
              <w:spacing w:line="240" w:lineRule="exact"/>
              <w:jc w:val="center"/>
              <w:rPr>
                <w:rFonts w:asciiTheme="minorEastAsia" w:hAnsiTheme="minorEastAsia"/>
                <w:szCs w:val="21"/>
              </w:rPr>
            </w:pPr>
            <w:r w:rsidRPr="001C77A5">
              <w:rPr>
                <w:rFonts w:asciiTheme="minorEastAsia" w:hAnsiTheme="minorEastAsia"/>
                <w:szCs w:val="21"/>
              </w:rPr>
              <w:t>常规乙类管理药品</w:t>
            </w:r>
          </w:p>
        </w:tc>
        <w:tc>
          <w:tcPr>
            <w:tcW w:w="1842" w:type="dxa"/>
            <w:vMerge/>
            <w:vAlign w:val="center"/>
          </w:tcPr>
          <w:p w:rsidR="00E10DE3" w:rsidRPr="001C77A5" w:rsidRDefault="00E10DE3" w:rsidP="00E918AA">
            <w:pPr>
              <w:spacing w:line="240" w:lineRule="exact"/>
              <w:jc w:val="center"/>
              <w:rPr>
                <w:rFonts w:asciiTheme="minorEastAsia" w:hAnsiTheme="minorEastAsia"/>
                <w:szCs w:val="21"/>
              </w:rPr>
            </w:pPr>
          </w:p>
        </w:tc>
      </w:tr>
    </w:tbl>
    <w:p w:rsidR="00E10DE3" w:rsidRPr="001C77A5" w:rsidRDefault="00094818">
      <w:pPr>
        <w:spacing w:line="560" w:lineRule="exact"/>
        <w:ind w:firstLineChars="200" w:firstLine="640"/>
        <w:jc w:val="left"/>
        <w:rPr>
          <w:rFonts w:ascii="仿宋_GB2312" w:eastAsia="仿宋_GB2312"/>
          <w:sz w:val="32"/>
          <w:szCs w:val="32"/>
        </w:rPr>
      </w:pPr>
      <w:r w:rsidRPr="001C77A5">
        <w:rPr>
          <w:rFonts w:ascii="仿宋_GB2312" w:eastAsia="仿宋_GB2312" w:hint="eastAsia"/>
          <w:sz w:val="32"/>
          <w:szCs w:val="32"/>
        </w:rPr>
        <w:t>“双通道”管理及单独支付药品管理为纳入门特项目用药范围药品和纳入国谈药门诊专项保障药品，</w:t>
      </w:r>
      <w:r w:rsidRPr="001C77A5">
        <w:rPr>
          <w:rFonts w:ascii="仿宋_GB2312" w:eastAsia="仿宋_GB2312"/>
          <w:sz w:val="32"/>
          <w:szCs w:val="32"/>
        </w:rPr>
        <w:t>参保人员使用时</w:t>
      </w:r>
      <w:r w:rsidRPr="001C77A5">
        <w:rPr>
          <w:rFonts w:ascii="仿宋_GB2312" w:eastAsia="仿宋_GB2312" w:hint="eastAsia"/>
          <w:sz w:val="32"/>
          <w:szCs w:val="32"/>
        </w:rPr>
        <w:t>实行“四定管理”。</w:t>
      </w:r>
    </w:p>
    <w:tbl>
      <w:tblPr>
        <w:tblStyle w:val="a6"/>
        <w:tblW w:w="0" w:type="auto"/>
        <w:tblInd w:w="108" w:type="dxa"/>
        <w:tblLook w:val="04A0"/>
      </w:tblPr>
      <w:tblGrid>
        <w:gridCol w:w="2694"/>
        <w:gridCol w:w="5811"/>
      </w:tblGrid>
      <w:tr w:rsidR="00E10DE3" w:rsidRPr="001C77A5" w:rsidTr="00652999">
        <w:trPr>
          <w:trHeight w:hRule="exact" w:val="907"/>
        </w:trPr>
        <w:tc>
          <w:tcPr>
            <w:tcW w:w="2694" w:type="dxa"/>
            <w:vAlign w:val="center"/>
          </w:tcPr>
          <w:p w:rsidR="00E10DE3" w:rsidRPr="001C77A5" w:rsidRDefault="00094818">
            <w:pPr>
              <w:jc w:val="center"/>
              <w:rPr>
                <w:rFonts w:asciiTheme="minorEastAsia" w:hAnsiTheme="minorEastAsia"/>
                <w:b/>
                <w:szCs w:val="21"/>
              </w:rPr>
            </w:pPr>
            <w:r w:rsidRPr="001C77A5">
              <w:rPr>
                <w:rFonts w:asciiTheme="minorEastAsia" w:hAnsiTheme="minorEastAsia"/>
                <w:b/>
                <w:szCs w:val="21"/>
              </w:rPr>
              <w:t>定用药资质</w:t>
            </w:r>
          </w:p>
        </w:tc>
        <w:tc>
          <w:tcPr>
            <w:tcW w:w="5811" w:type="dxa"/>
            <w:vMerge w:val="restart"/>
            <w:vAlign w:val="center"/>
          </w:tcPr>
          <w:p w:rsidR="00E10DE3" w:rsidRPr="001C77A5" w:rsidRDefault="00094818" w:rsidP="00652999">
            <w:pPr>
              <w:spacing w:line="300" w:lineRule="exact"/>
              <w:rPr>
                <w:rFonts w:ascii="宋体" w:eastAsia="宋体" w:hAnsi="宋体"/>
                <w:szCs w:val="21"/>
              </w:rPr>
            </w:pPr>
            <w:r w:rsidRPr="001C77A5">
              <w:rPr>
                <w:rFonts w:ascii="宋体" w:eastAsia="宋体" w:hAnsi="宋体" w:hint="eastAsia"/>
                <w:szCs w:val="21"/>
              </w:rPr>
              <w:t>第一步：定用药资质。参保患者至定点医疗机构找责任医师诊断认定，办理备案登记（每次备案时间最长不超过一年）。</w:t>
            </w:r>
          </w:p>
          <w:p w:rsidR="00E10DE3" w:rsidRPr="001C77A5" w:rsidRDefault="00094818" w:rsidP="00652999">
            <w:pPr>
              <w:spacing w:line="300" w:lineRule="exact"/>
              <w:rPr>
                <w:rFonts w:ascii="宋体" w:eastAsia="宋体" w:hAnsi="宋体"/>
                <w:szCs w:val="21"/>
              </w:rPr>
            </w:pPr>
            <w:r w:rsidRPr="001C77A5">
              <w:rPr>
                <w:rFonts w:ascii="宋体" w:eastAsia="宋体" w:hAnsi="宋体" w:hint="eastAsia"/>
                <w:szCs w:val="21"/>
              </w:rPr>
              <w:t>第二步：定国谈药医药机构，实名购药。备案通过后，参保人员凭责任医师开具的电子处方或纸质处方，至约定的1家国谈药定点医疗机构、1家国谈药定点零售药店持医保电子凭证（或有效身份证件、医保卡）实名直接划卡结算。</w:t>
            </w:r>
          </w:p>
          <w:p w:rsidR="00E10DE3" w:rsidRPr="001C77A5" w:rsidRDefault="00094818" w:rsidP="00652999">
            <w:pPr>
              <w:spacing w:line="300" w:lineRule="exact"/>
              <w:rPr>
                <w:rFonts w:ascii="宋体" w:eastAsia="宋体" w:hAnsi="宋体"/>
                <w:szCs w:val="21"/>
              </w:rPr>
            </w:pPr>
            <w:r w:rsidRPr="001C77A5">
              <w:rPr>
                <w:rFonts w:ascii="宋体" w:eastAsia="宋体" w:hAnsi="宋体" w:hint="eastAsia"/>
                <w:szCs w:val="21"/>
              </w:rPr>
              <w:t>第三步：复查评估。参保患者享受医保待遇期间，须定期到国谈药医保责任医师处复查评估，以《参保患者"双通道"管理及单独支付药品使用评估表》记录，由责任医师签字确认，并根据评估结果及时调整用药方案。复查评估时间最长不超过一年，具体间隔时间由责任医师确定。</w:t>
            </w:r>
          </w:p>
        </w:tc>
      </w:tr>
      <w:tr w:rsidR="00E10DE3" w:rsidRPr="001C77A5" w:rsidTr="00652999">
        <w:trPr>
          <w:trHeight w:hRule="exact" w:val="907"/>
        </w:trPr>
        <w:tc>
          <w:tcPr>
            <w:tcW w:w="2694" w:type="dxa"/>
            <w:vAlign w:val="center"/>
          </w:tcPr>
          <w:p w:rsidR="00E10DE3" w:rsidRPr="001C77A5" w:rsidRDefault="00094818">
            <w:pPr>
              <w:jc w:val="center"/>
              <w:rPr>
                <w:rFonts w:asciiTheme="minorEastAsia" w:hAnsiTheme="minorEastAsia"/>
                <w:b/>
                <w:szCs w:val="21"/>
              </w:rPr>
            </w:pPr>
            <w:r w:rsidRPr="001C77A5">
              <w:rPr>
                <w:rFonts w:asciiTheme="minorEastAsia" w:hAnsiTheme="minorEastAsia"/>
                <w:b/>
                <w:szCs w:val="21"/>
              </w:rPr>
              <w:t>定国谈药定点医疗机构</w:t>
            </w:r>
          </w:p>
        </w:tc>
        <w:tc>
          <w:tcPr>
            <w:tcW w:w="5811" w:type="dxa"/>
            <w:vMerge/>
            <w:vAlign w:val="center"/>
          </w:tcPr>
          <w:p w:rsidR="00E10DE3" w:rsidRPr="001C77A5" w:rsidRDefault="00E10DE3">
            <w:pPr>
              <w:jc w:val="center"/>
              <w:rPr>
                <w:rFonts w:ascii="仿宋_GB2312" w:eastAsia="仿宋_GB2312"/>
                <w:sz w:val="28"/>
                <w:szCs w:val="28"/>
              </w:rPr>
            </w:pPr>
          </w:p>
        </w:tc>
      </w:tr>
      <w:tr w:rsidR="00E10DE3" w:rsidRPr="001C77A5" w:rsidTr="00652999">
        <w:trPr>
          <w:trHeight w:hRule="exact" w:val="907"/>
        </w:trPr>
        <w:tc>
          <w:tcPr>
            <w:tcW w:w="2694" w:type="dxa"/>
            <w:vAlign w:val="center"/>
          </w:tcPr>
          <w:p w:rsidR="00E10DE3" w:rsidRPr="001C77A5" w:rsidRDefault="00094818">
            <w:pPr>
              <w:jc w:val="center"/>
              <w:rPr>
                <w:rFonts w:asciiTheme="minorEastAsia" w:hAnsiTheme="minorEastAsia"/>
                <w:b/>
                <w:szCs w:val="21"/>
              </w:rPr>
            </w:pPr>
            <w:r w:rsidRPr="001C77A5">
              <w:rPr>
                <w:rFonts w:asciiTheme="minorEastAsia" w:hAnsiTheme="minorEastAsia"/>
                <w:b/>
                <w:szCs w:val="21"/>
              </w:rPr>
              <w:t>定国谈药定点零售药店</w:t>
            </w:r>
          </w:p>
        </w:tc>
        <w:tc>
          <w:tcPr>
            <w:tcW w:w="5811" w:type="dxa"/>
            <w:vMerge/>
            <w:vAlign w:val="center"/>
          </w:tcPr>
          <w:p w:rsidR="00E10DE3" w:rsidRPr="001C77A5" w:rsidRDefault="00E10DE3">
            <w:pPr>
              <w:jc w:val="center"/>
              <w:rPr>
                <w:rFonts w:ascii="仿宋_GB2312" w:eastAsia="仿宋_GB2312"/>
                <w:sz w:val="28"/>
                <w:szCs w:val="28"/>
              </w:rPr>
            </w:pPr>
          </w:p>
        </w:tc>
      </w:tr>
      <w:tr w:rsidR="00E10DE3" w:rsidRPr="001C77A5" w:rsidTr="00652999">
        <w:trPr>
          <w:trHeight w:hRule="exact" w:val="907"/>
        </w:trPr>
        <w:tc>
          <w:tcPr>
            <w:tcW w:w="2694" w:type="dxa"/>
            <w:vAlign w:val="center"/>
          </w:tcPr>
          <w:p w:rsidR="00E10DE3" w:rsidRPr="001C77A5" w:rsidRDefault="00094818">
            <w:pPr>
              <w:jc w:val="center"/>
              <w:rPr>
                <w:rFonts w:asciiTheme="minorEastAsia" w:hAnsiTheme="minorEastAsia"/>
                <w:b/>
                <w:szCs w:val="21"/>
              </w:rPr>
            </w:pPr>
            <w:r w:rsidRPr="001C77A5">
              <w:rPr>
                <w:rFonts w:asciiTheme="minorEastAsia" w:hAnsiTheme="minorEastAsia"/>
                <w:b/>
                <w:szCs w:val="21"/>
              </w:rPr>
              <w:t>定国谈药医保责任医师</w:t>
            </w:r>
          </w:p>
        </w:tc>
        <w:tc>
          <w:tcPr>
            <w:tcW w:w="5811" w:type="dxa"/>
            <w:vMerge/>
            <w:vAlign w:val="center"/>
          </w:tcPr>
          <w:p w:rsidR="00E10DE3" w:rsidRPr="001C77A5" w:rsidRDefault="00E10DE3">
            <w:pPr>
              <w:jc w:val="center"/>
              <w:rPr>
                <w:rFonts w:ascii="仿宋_GB2312" w:eastAsia="仿宋_GB2312"/>
                <w:sz w:val="28"/>
                <w:szCs w:val="28"/>
              </w:rPr>
            </w:pPr>
          </w:p>
        </w:tc>
      </w:tr>
    </w:tbl>
    <w:p w:rsidR="00E10DE3" w:rsidRPr="001C77A5" w:rsidRDefault="00094818">
      <w:pPr>
        <w:ind w:firstLineChars="200" w:firstLine="640"/>
        <w:rPr>
          <w:rFonts w:ascii="黑体" w:eastAsia="黑体" w:hAnsi="黑体"/>
          <w:sz w:val="32"/>
          <w:szCs w:val="32"/>
        </w:rPr>
      </w:pPr>
      <w:r w:rsidRPr="001C77A5">
        <w:rPr>
          <w:rFonts w:ascii="黑体" w:eastAsia="黑体" w:hAnsi="黑体" w:hint="eastAsia"/>
          <w:sz w:val="32"/>
          <w:szCs w:val="32"/>
        </w:rPr>
        <w:t>三、“双通道”管理及单独支付药品待遇</w:t>
      </w:r>
    </w:p>
    <w:p w:rsidR="00E10DE3" w:rsidRPr="001C77A5" w:rsidRDefault="00094818">
      <w:pPr>
        <w:spacing w:line="560" w:lineRule="exact"/>
        <w:ind w:firstLineChars="200" w:firstLine="640"/>
        <w:rPr>
          <w:rFonts w:ascii="仿宋_GB2312" w:eastAsia="仿宋_GB2312"/>
          <w:sz w:val="32"/>
          <w:szCs w:val="32"/>
        </w:rPr>
      </w:pPr>
      <w:r w:rsidRPr="001C77A5">
        <w:rPr>
          <w:rFonts w:ascii="仿宋_GB2312" w:eastAsia="仿宋_GB2312" w:hint="eastAsia"/>
          <w:sz w:val="32"/>
          <w:szCs w:val="32"/>
        </w:rPr>
        <w:t>一个医保年度内，参保人员在国谈药定点医疗机构和定点</w:t>
      </w:r>
      <w:r w:rsidRPr="001C77A5">
        <w:rPr>
          <w:rFonts w:ascii="仿宋_GB2312" w:eastAsia="仿宋_GB2312" w:hint="eastAsia"/>
          <w:sz w:val="32"/>
          <w:szCs w:val="32"/>
        </w:rPr>
        <w:lastRenderedPageBreak/>
        <w:t>零售药店使用以下两类国谈药，不设起付线，按国谈药品支付标准，先由参保人员按比例个人自付后，再按如下限额标准进行结付：</w:t>
      </w:r>
    </w:p>
    <w:tbl>
      <w:tblPr>
        <w:tblStyle w:val="a6"/>
        <w:tblW w:w="0" w:type="auto"/>
        <w:tblInd w:w="108" w:type="dxa"/>
        <w:tblLook w:val="04A0"/>
      </w:tblPr>
      <w:tblGrid>
        <w:gridCol w:w="2127"/>
        <w:gridCol w:w="1701"/>
        <w:gridCol w:w="1296"/>
        <w:gridCol w:w="1397"/>
        <w:gridCol w:w="1984"/>
      </w:tblGrid>
      <w:tr w:rsidR="00E10DE3" w:rsidRPr="001C77A5" w:rsidTr="00FD36E6">
        <w:trPr>
          <w:trHeight w:hRule="exact" w:val="680"/>
        </w:trPr>
        <w:tc>
          <w:tcPr>
            <w:tcW w:w="2127" w:type="dxa"/>
            <w:vMerge w:val="restart"/>
            <w:vAlign w:val="center"/>
          </w:tcPr>
          <w:p w:rsidR="00E10DE3" w:rsidRPr="001C77A5" w:rsidRDefault="00094818" w:rsidP="00FD36E6">
            <w:pPr>
              <w:spacing w:line="300" w:lineRule="exact"/>
              <w:jc w:val="center"/>
              <w:rPr>
                <w:rFonts w:asciiTheme="minorEastAsia" w:hAnsiTheme="minorEastAsia"/>
                <w:b/>
                <w:szCs w:val="21"/>
              </w:rPr>
            </w:pPr>
            <w:r w:rsidRPr="001C77A5">
              <w:rPr>
                <w:rFonts w:asciiTheme="minorEastAsia" w:hAnsiTheme="minorEastAsia" w:hint="eastAsia"/>
                <w:b/>
                <w:szCs w:val="21"/>
              </w:rPr>
              <w:t>药品类型</w:t>
            </w:r>
          </w:p>
        </w:tc>
        <w:tc>
          <w:tcPr>
            <w:tcW w:w="1701" w:type="dxa"/>
            <w:vMerge w:val="restart"/>
            <w:vAlign w:val="center"/>
          </w:tcPr>
          <w:p w:rsidR="00E10DE3" w:rsidRPr="001C77A5" w:rsidRDefault="00094818" w:rsidP="00FD36E6">
            <w:pPr>
              <w:spacing w:line="300" w:lineRule="exact"/>
              <w:jc w:val="center"/>
              <w:rPr>
                <w:rFonts w:asciiTheme="minorEastAsia" w:hAnsiTheme="minorEastAsia"/>
                <w:b/>
                <w:szCs w:val="21"/>
              </w:rPr>
            </w:pPr>
            <w:r w:rsidRPr="001C77A5">
              <w:rPr>
                <w:rFonts w:asciiTheme="minorEastAsia" w:hAnsiTheme="minorEastAsia" w:hint="eastAsia"/>
                <w:b/>
                <w:szCs w:val="21"/>
              </w:rPr>
              <w:t>备案</w:t>
            </w:r>
          </w:p>
        </w:tc>
        <w:tc>
          <w:tcPr>
            <w:tcW w:w="1296" w:type="dxa"/>
            <w:vMerge w:val="restart"/>
            <w:vAlign w:val="center"/>
          </w:tcPr>
          <w:p w:rsidR="00E10DE3" w:rsidRPr="001C77A5" w:rsidRDefault="00094818" w:rsidP="00FD36E6">
            <w:pPr>
              <w:spacing w:line="300" w:lineRule="exact"/>
              <w:jc w:val="center"/>
              <w:rPr>
                <w:rFonts w:asciiTheme="minorEastAsia" w:hAnsiTheme="minorEastAsia"/>
                <w:b/>
                <w:szCs w:val="21"/>
              </w:rPr>
            </w:pPr>
            <w:r w:rsidRPr="001C77A5">
              <w:rPr>
                <w:rFonts w:asciiTheme="minorEastAsia" w:hAnsiTheme="minorEastAsia" w:hint="eastAsia"/>
                <w:b/>
                <w:szCs w:val="21"/>
              </w:rPr>
              <w:t>限额</w:t>
            </w:r>
          </w:p>
        </w:tc>
        <w:tc>
          <w:tcPr>
            <w:tcW w:w="1397" w:type="dxa"/>
            <w:vAlign w:val="center"/>
          </w:tcPr>
          <w:p w:rsidR="00E10DE3" w:rsidRPr="001C77A5" w:rsidRDefault="00094818" w:rsidP="00FD36E6">
            <w:pPr>
              <w:spacing w:line="300" w:lineRule="exact"/>
              <w:jc w:val="center"/>
              <w:rPr>
                <w:rFonts w:asciiTheme="minorEastAsia" w:hAnsiTheme="minorEastAsia"/>
                <w:b/>
                <w:szCs w:val="21"/>
              </w:rPr>
            </w:pPr>
            <w:r w:rsidRPr="001C77A5">
              <w:rPr>
                <w:rFonts w:asciiTheme="minorEastAsia" w:hAnsiTheme="minorEastAsia" w:hint="eastAsia"/>
                <w:b/>
                <w:szCs w:val="21"/>
              </w:rPr>
              <w:t>职工医保</w:t>
            </w:r>
          </w:p>
        </w:tc>
        <w:tc>
          <w:tcPr>
            <w:tcW w:w="1984" w:type="dxa"/>
            <w:vAlign w:val="center"/>
          </w:tcPr>
          <w:p w:rsidR="00E10DE3" w:rsidRPr="001C77A5" w:rsidRDefault="00094818" w:rsidP="00FD36E6">
            <w:pPr>
              <w:spacing w:line="300" w:lineRule="exact"/>
              <w:jc w:val="center"/>
              <w:rPr>
                <w:rFonts w:asciiTheme="minorEastAsia" w:hAnsiTheme="minorEastAsia"/>
                <w:b/>
                <w:szCs w:val="21"/>
              </w:rPr>
            </w:pPr>
            <w:r w:rsidRPr="001C77A5">
              <w:rPr>
                <w:rFonts w:asciiTheme="minorEastAsia" w:hAnsiTheme="minorEastAsia" w:hint="eastAsia"/>
                <w:b/>
                <w:szCs w:val="21"/>
              </w:rPr>
              <w:t>居民医保</w:t>
            </w:r>
          </w:p>
        </w:tc>
      </w:tr>
      <w:tr w:rsidR="00E10DE3" w:rsidRPr="001C77A5" w:rsidTr="00FD36E6">
        <w:trPr>
          <w:trHeight w:hRule="exact" w:val="680"/>
        </w:trPr>
        <w:tc>
          <w:tcPr>
            <w:tcW w:w="2127" w:type="dxa"/>
            <w:vMerge/>
            <w:vAlign w:val="center"/>
          </w:tcPr>
          <w:p w:rsidR="00E10DE3" w:rsidRPr="001C77A5" w:rsidRDefault="00E10DE3" w:rsidP="00FD36E6">
            <w:pPr>
              <w:spacing w:line="300" w:lineRule="exact"/>
              <w:jc w:val="center"/>
              <w:rPr>
                <w:rFonts w:asciiTheme="minorEastAsia" w:hAnsiTheme="minorEastAsia"/>
                <w:b/>
                <w:szCs w:val="21"/>
              </w:rPr>
            </w:pPr>
          </w:p>
        </w:tc>
        <w:tc>
          <w:tcPr>
            <w:tcW w:w="1701" w:type="dxa"/>
            <w:vMerge/>
            <w:vAlign w:val="center"/>
          </w:tcPr>
          <w:p w:rsidR="00E10DE3" w:rsidRPr="001C77A5" w:rsidRDefault="00E10DE3" w:rsidP="00FD36E6">
            <w:pPr>
              <w:spacing w:line="300" w:lineRule="exact"/>
              <w:jc w:val="center"/>
              <w:rPr>
                <w:rFonts w:asciiTheme="minorEastAsia" w:hAnsiTheme="minorEastAsia"/>
                <w:b/>
                <w:szCs w:val="21"/>
              </w:rPr>
            </w:pPr>
          </w:p>
        </w:tc>
        <w:tc>
          <w:tcPr>
            <w:tcW w:w="1296" w:type="dxa"/>
            <w:vMerge/>
            <w:vAlign w:val="center"/>
          </w:tcPr>
          <w:p w:rsidR="00E10DE3" w:rsidRPr="001C77A5" w:rsidRDefault="00E10DE3" w:rsidP="00FD36E6">
            <w:pPr>
              <w:spacing w:line="300" w:lineRule="exact"/>
              <w:jc w:val="center"/>
              <w:rPr>
                <w:rFonts w:asciiTheme="minorEastAsia" w:hAnsiTheme="minorEastAsia"/>
                <w:b/>
                <w:szCs w:val="21"/>
              </w:rPr>
            </w:pPr>
          </w:p>
        </w:tc>
        <w:tc>
          <w:tcPr>
            <w:tcW w:w="3381" w:type="dxa"/>
            <w:gridSpan w:val="2"/>
            <w:vAlign w:val="center"/>
          </w:tcPr>
          <w:p w:rsidR="00E10DE3" w:rsidRPr="001C77A5" w:rsidRDefault="00094818" w:rsidP="00FD36E6">
            <w:pPr>
              <w:spacing w:line="300" w:lineRule="exact"/>
              <w:jc w:val="center"/>
              <w:rPr>
                <w:rFonts w:asciiTheme="minorEastAsia" w:hAnsiTheme="minorEastAsia"/>
                <w:b/>
                <w:szCs w:val="21"/>
              </w:rPr>
            </w:pPr>
            <w:r w:rsidRPr="001C77A5">
              <w:rPr>
                <w:rFonts w:asciiTheme="minorEastAsia" w:hAnsiTheme="minorEastAsia" w:hint="eastAsia"/>
                <w:b/>
                <w:szCs w:val="21"/>
              </w:rPr>
              <w:t>医保内符合费用给付比例</w:t>
            </w:r>
          </w:p>
        </w:tc>
      </w:tr>
      <w:tr w:rsidR="00E10DE3" w:rsidRPr="001C77A5" w:rsidTr="00FD36E6">
        <w:trPr>
          <w:trHeight w:hRule="exact" w:val="680"/>
        </w:trPr>
        <w:tc>
          <w:tcPr>
            <w:tcW w:w="2127" w:type="dxa"/>
            <w:vAlign w:val="center"/>
          </w:tcPr>
          <w:p w:rsidR="00113F32" w:rsidRPr="001C77A5" w:rsidRDefault="00094818" w:rsidP="00FD36E6">
            <w:pPr>
              <w:spacing w:line="300" w:lineRule="exact"/>
              <w:jc w:val="center"/>
              <w:rPr>
                <w:rFonts w:asciiTheme="minorEastAsia" w:hAnsiTheme="minorEastAsia"/>
                <w:szCs w:val="21"/>
              </w:rPr>
            </w:pPr>
            <w:r w:rsidRPr="001C77A5">
              <w:rPr>
                <w:rFonts w:asciiTheme="minorEastAsia" w:hAnsiTheme="minorEastAsia" w:hint="eastAsia"/>
                <w:szCs w:val="21"/>
              </w:rPr>
              <w:t>纳入苏州市门特</w:t>
            </w:r>
          </w:p>
          <w:p w:rsidR="00E10DE3" w:rsidRPr="001C77A5" w:rsidRDefault="00094818" w:rsidP="00FD36E6">
            <w:pPr>
              <w:spacing w:line="300" w:lineRule="exact"/>
              <w:jc w:val="center"/>
              <w:rPr>
                <w:rFonts w:asciiTheme="minorEastAsia" w:hAnsiTheme="minorEastAsia"/>
                <w:szCs w:val="21"/>
              </w:rPr>
            </w:pPr>
            <w:r w:rsidRPr="001C77A5">
              <w:rPr>
                <w:rFonts w:asciiTheme="minorEastAsia" w:hAnsiTheme="minorEastAsia" w:hint="eastAsia"/>
                <w:szCs w:val="21"/>
              </w:rPr>
              <w:t>用药范围管理药品</w:t>
            </w:r>
          </w:p>
        </w:tc>
        <w:tc>
          <w:tcPr>
            <w:tcW w:w="1701" w:type="dxa"/>
            <w:vAlign w:val="center"/>
          </w:tcPr>
          <w:p w:rsidR="00E06B98" w:rsidRPr="001C77A5" w:rsidRDefault="00094818" w:rsidP="00FD36E6">
            <w:pPr>
              <w:spacing w:line="300" w:lineRule="exact"/>
              <w:jc w:val="center"/>
              <w:rPr>
                <w:rFonts w:asciiTheme="minorEastAsia" w:hAnsiTheme="minorEastAsia"/>
                <w:szCs w:val="21"/>
              </w:rPr>
            </w:pPr>
            <w:r w:rsidRPr="001C77A5">
              <w:rPr>
                <w:rFonts w:asciiTheme="minorEastAsia" w:hAnsiTheme="minorEastAsia" w:hint="eastAsia"/>
                <w:szCs w:val="21"/>
              </w:rPr>
              <w:t>门特备案+</w:t>
            </w:r>
          </w:p>
          <w:p w:rsidR="00E10DE3" w:rsidRPr="001C77A5" w:rsidRDefault="00094818" w:rsidP="00FD36E6">
            <w:pPr>
              <w:spacing w:line="300" w:lineRule="exact"/>
              <w:jc w:val="center"/>
              <w:rPr>
                <w:rFonts w:asciiTheme="minorEastAsia" w:hAnsiTheme="minorEastAsia"/>
                <w:szCs w:val="21"/>
              </w:rPr>
            </w:pPr>
            <w:r w:rsidRPr="001C77A5">
              <w:rPr>
                <w:rFonts w:asciiTheme="minorEastAsia" w:hAnsiTheme="minorEastAsia" w:hint="eastAsia"/>
                <w:szCs w:val="21"/>
              </w:rPr>
              <w:t>国谈药备案</w:t>
            </w:r>
          </w:p>
        </w:tc>
        <w:tc>
          <w:tcPr>
            <w:tcW w:w="4677" w:type="dxa"/>
            <w:gridSpan w:val="3"/>
            <w:vAlign w:val="center"/>
          </w:tcPr>
          <w:p w:rsidR="00E10DE3" w:rsidRPr="001C77A5" w:rsidRDefault="00094818" w:rsidP="00FD36E6">
            <w:pPr>
              <w:spacing w:line="300" w:lineRule="exact"/>
              <w:jc w:val="center"/>
              <w:rPr>
                <w:rFonts w:asciiTheme="minorEastAsia" w:hAnsiTheme="minorEastAsia"/>
                <w:szCs w:val="21"/>
              </w:rPr>
            </w:pPr>
            <w:r w:rsidRPr="001C77A5">
              <w:rPr>
                <w:rFonts w:asciiTheme="minorEastAsia" w:hAnsiTheme="minorEastAsia" w:hint="eastAsia"/>
                <w:szCs w:val="21"/>
              </w:rPr>
              <w:t>按照规定的门特项目待遇标准执行</w:t>
            </w:r>
          </w:p>
        </w:tc>
      </w:tr>
      <w:tr w:rsidR="00E10DE3" w:rsidRPr="001C77A5" w:rsidTr="00FD36E6">
        <w:trPr>
          <w:trHeight w:hRule="exact" w:val="680"/>
        </w:trPr>
        <w:tc>
          <w:tcPr>
            <w:tcW w:w="2127" w:type="dxa"/>
            <w:vAlign w:val="center"/>
          </w:tcPr>
          <w:p w:rsidR="00113F32" w:rsidRPr="001C77A5" w:rsidRDefault="00094818" w:rsidP="00FD36E6">
            <w:pPr>
              <w:spacing w:line="300" w:lineRule="exact"/>
              <w:jc w:val="center"/>
              <w:rPr>
                <w:rFonts w:asciiTheme="minorEastAsia" w:hAnsiTheme="minorEastAsia"/>
                <w:szCs w:val="21"/>
              </w:rPr>
            </w:pPr>
            <w:r w:rsidRPr="001C77A5">
              <w:rPr>
                <w:rFonts w:asciiTheme="minorEastAsia" w:hAnsiTheme="minorEastAsia" w:hint="eastAsia"/>
                <w:szCs w:val="21"/>
              </w:rPr>
              <w:t>国谈药门诊专项</w:t>
            </w:r>
          </w:p>
          <w:p w:rsidR="00E10DE3" w:rsidRPr="001C77A5" w:rsidRDefault="00094818" w:rsidP="00FD36E6">
            <w:pPr>
              <w:spacing w:line="300" w:lineRule="exact"/>
              <w:jc w:val="center"/>
              <w:rPr>
                <w:rFonts w:asciiTheme="minorEastAsia" w:hAnsiTheme="minorEastAsia"/>
                <w:szCs w:val="21"/>
              </w:rPr>
            </w:pPr>
            <w:r w:rsidRPr="001C77A5">
              <w:rPr>
                <w:rFonts w:asciiTheme="minorEastAsia" w:hAnsiTheme="minorEastAsia" w:hint="eastAsia"/>
                <w:szCs w:val="21"/>
              </w:rPr>
              <w:t>保障药品</w:t>
            </w:r>
          </w:p>
        </w:tc>
        <w:tc>
          <w:tcPr>
            <w:tcW w:w="1701" w:type="dxa"/>
            <w:vAlign w:val="center"/>
          </w:tcPr>
          <w:p w:rsidR="00E10DE3" w:rsidRPr="001C77A5" w:rsidRDefault="00094818" w:rsidP="00FD36E6">
            <w:pPr>
              <w:spacing w:line="300" w:lineRule="exact"/>
              <w:jc w:val="center"/>
              <w:rPr>
                <w:rFonts w:asciiTheme="minorEastAsia" w:hAnsiTheme="minorEastAsia"/>
                <w:szCs w:val="21"/>
              </w:rPr>
            </w:pPr>
            <w:r w:rsidRPr="001C77A5">
              <w:rPr>
                <w:rFonts w:asciiTheme="minorEastAsia" w:hAnsiTheme="minorEastAsia" w:hint="eastAsia"/>
                <w:szCs w:val="21"/>
              </w:rPr>
              <w:t>国谈药备案</w:t>
            </w:r>
          </w:p>
        </w:tc>
        <w:tc>
          <w:tcPr>
            <w:tcW w:w="1296" w:type="dxa"/>
            <w:vAlign w:val="center"/>
          </w:tcPr>
          <w:p w:rsidR="00E10DE3" w:rsidRPr="001C77A5" w:rsidRDefault="00094818" w:rsidP="00FD36E6">
            <w:pPr>
              <w:spacing w:line="300" w:lineRule="exact"/>
              <w:jc w:val="center"/>
              <w:rPr>
                <w:rFonts w:asciiTheme="minorEastAsia" w:hAnsiTheme="minorEastAsia"/>
                <w:szCs w:val="21"/>
              </w:rPr>
            </w:pPr>
            <w:r w:rsidRPr="001C77A5">
              <w:rPr>
                <w:rFonts w:asciiTheme="minorEastAsia" w:hAnsiTheme="minorEastAsia" w:hint="eastAsia"/>
                <w:szCs w:val="21"/>
              </w:rPr>
              <w:t>10万元</w:t>
            </w:r>
          </w:p>
        </w:tc>
        <w:tc>
          <w:tcPr>
            <w:tcW w:w="1397" w:type="dxa"/>
            <w:vAlign w:val="center"/>
          </w:tcPr>
          <w:p w:rsidR="00E10DE3" w:rsidRPr="001C77A5" w:rsidRDefault="00094818" w:rsidP="00FD36E6">
            <w:pPr>
              <w:spacing w:line="300" w:lineRule="exact"/>
              <w:jc w:val="center"/>
              <w:rPr>
                <w:rFonts w:asciiTheme="minorEastAsia" w:hAnsiTheme="minorEastAsia"/>
                <w:szCs w:val="21"/>
              </w:rPr>
            </w:pPr>
            <w:r w:rsidRPr="001C77A5">
              <w:rPr>
                <w:rFonts w:asciiTheme="minorEastAsia" w:hAnsiTheme="minorEastAsia" w:hint="eastAsia"/>
                <w:szCs w:val="21"/>
              </w:rPr>
              <w:t>90%</w:t>
            </w:r>
          </w:p>
        </w:tc>
        <w:tc>
          <w:tcPr>
            <w:tcW w:w="1984" w:type="dxa"/>
            <w:vAlign w:val="center"/>
          </w:tcPr>
          <w:p w:rsidR="00E10DE3" w:rsidRPr="001C77A5" w:rsidRDefault="00094818" w:rsidP="00FD36E6">
            <w:pPr>
              <w:spacing w:line="300" w:lineRule="exact"/>
              <w:jc w:val="center"/>
              <w:rPr>
                <w:rFonts w:asciiTheme="minorEastAsia" w:hAnsiTheme="minorEastAsia"/>
                <w:szCs w:val="21"/>
              </w:rPr>
            </w:pPr>
            <w:r w:rsidRPr="001C77A5">
              <w:rPr>
                <w:rFonts w:asciiTheme="minorEastAsia" w:hAnsiTheme="minorEastAsia" w:hint="eastAsia"/>
                <w:szCs w:val="21"/>
              </w:rPr>
              <w:t>80%</w:t>
            </w:r>
          </w:p>
        </w:tc>
      </w:tr>
    </w:tbl>
    <w:p w:rsidR="00E10DE3" w:rsidRPr="001C77A5" w:rsidRDefault="00094818">
      <w:pPr>
        <w:spacing w:line="560" w:lineRule="exact"/>
        <w:ind w:firstLineChars="200" w:firstLine="643"/>
        <w:rPr>
          <w:rFonts w:ascii="仿宋_GB2312" w:eastAsia="仿宋_GB2312"/>
          <w:sz w:val="32"/>
          <w:szCs w:val="32"/>
        </w:rPr>
      </w:pPr>
      <w:r w:rsidRPr="001C77A5">
        <w:rPr>
          <w:rFonts w:ascii="仿宋_GB2312" w:eastAsia="仿宋_GB2312" w:hint="eastAsia"/>
          <w:b/>
          <w:sz w:val="32"/>
          <w:szCs w:val="32"/>
        </w:rPr>
        <w:t>注：</w:t>
      </w:r>
      <w:r w:rsidRPr="001C77A5">
        <w:rPr>
          <w:rFonts w:ascii="仿宋_GB2312" w:eastAsia="仿宋_GB2312" w:hint="eastAsia"/>
          <w:sz w:val="32"/>
          <w:szCs w:val="32"/>
        </w:rPr>
        <w:t>职工医保当年住院和门特（含“双通道”管理及单独支付药品）累计超35万元以上的，所有门特结付比例统一为95%。居民医保当年住院和门慢特（含“双通道”管理及单独支付药品）累计超35万元以上的部分，不结付。</w:t>
      </w:r>
    </w:p>
    <w:p w:rsidR="00E10DE3" w:rsidRPr="001C77A5" w:rsidRDefault="00094818">
      <w:pPr>
        <w:spacing w:line="560" w:lineRule="exact"/>
        <w:ind w:firstLineChars="200" w:firstLine="640"/>
        <w:rPr>
          <w:rFonts w:ascii="黑体" w:eastAsia="黑体" w:hAnsi="黑体"/>
          <w:sz w:val="32"/>
          <w:szCs w:val="32"/>
        </w:rPr>
      </w:pPr>
      <w:r w:rsidRPr="001C77A5">
        <w:rPr>
          <w:rFonts w:ascii="黑体" w:eastAsia="黑体" w:hAnsi="黑体" w:hint="eastAsia"/>
          <w:sz w:val="32"/>
          <w:szCs w:val="32"/>
        </w:rPr>
        <w:t>四、国谈药待遇登记</w:t>
      </w:r>
    </w:p>
    <w:p w:rsidR="00E10DE3" w:rsidRPr="001C77A5" w:rsidRDefault="00094818">
      <w:pPr>
        <w:spacing w:line="560" w:lineRule="exact"/>
        <w:ind w:firstLineChars="200" w:firstLine="640"/>
        <w:jc w:val="left"/>
        <w:rPr>
          <w:rFonts w:ascii="楷体_GB2312" w:eastAsia="楷体_GB2312" w:hAnsi="宋体" w:cs="Times New Roman"/>
          <w:sz w:val="32"/>
          <w:szCs w:val="32"/>
        </w:rPr>
      </w:pPr>
      <w:r w:rsidRPr="001C77A5">
        <w:rPr>
          <w:rFonts w:ascii="楷体_GB2312" w:eastAsia="楷体_GB2312" w:hAnsi="宋体" w:cs="Times New Roman" w:hint="eastAsia"/>
          <w:sz w:val="32"/>
          <w:szCs w:val="32"/>
        </w:rPr>
        <w:t>（一）办理材料</w:t>
      </w:r>
    </w:p>
    <w:p w:rsidR="00E10DE3" w:rsidRPr="001C77A5" w:rsidRDefault="00094818">
      <w:pPr>
        <w:spacing w:line="560" w:lineRule="exact"/>
        <w:ind w:firstLineChars="200" w:firstLine="640"/>
        <w:jc w:val="left"/>
        <w:rPr>
          <w:rFonts w:ascii="仿宋_GB2312" w:eastAsia="仿宋_GB2312" w:hAnsi="宋体" w:cs="Times New Roman"/>
          <w:sz w:val="32"/>
          <w:szCs w:val="32"/>
        </w:rPr>
      </w:pPr>
      <w:r w:rsidRPr="001C77A5">
        <w:rPr>
          <w:rFonts w:ascii="仿宋_GB2312" w:eastAsia="仿宋_GB2312" w:hAnsi="宋体" w:cs="Times New Roman"/>
          <w:sz w:val="32"/>
          <w:szCs w:val="32"/>
        </w:rPr>
        <w:t>1.参保人员有效身份证件</w:t>
      </w:r>
      <w:r w:rsidRPr="001C77A5">
        <w:rPr>
          <w:rFonts w:ascii="仿宋_GB2312" w:eastAsia="仿宋_GB2312" w:hAnsi="宋体" w:cs="Times New Roman" w:hint="eastAsia"/>
          <w:sz w:val="32"/>
          <w:szCs w:val="32"/>
        </w:rPr>
        <w:t>或社会保障卡</w:t>
      </w:r>
      <w:r w:rsidRPr="001C77A5">
        <w:rPr>
          <w:rFonts w:ascii="仿宋_GB2312" w:eastAsia="仿宋_GB2312" w:hAnsi="宋体" w:cs="Times New Roman"/>
          <w:sz w:val="32"/>
          <w:szCs w:val="32"/>
        </w:rPr>
        <w:t>。</w:t>
      </w:r>
    </w:p>
    <w:p w:rsidR="00E10DE3" w:rsidRPr="001C77A5" w:rsidRDefault="00094818">
      <w:pPr>
        <w:spacing w:line="560" w:lineRule="exact"/>
        <w:ind w:firstLineChars="200" w:firstLine="640"/>
        <w:jc w:val="left"/>
        <w:rPr>
          <w:rFonts w:ascii="仿宋_GB2312" w:eastAsia="仿宋_GB2312" w:hAnsi="宋体" w:cs="Times New Roman"/>
          <w:sz w:val="32"/>
          <w:szCs w:val="32"/>
        </w:rPr>
      </w:pPr>
      <w:r w:rsidRPr="001C77A5">
        <w:rPr>
          <w:rFonts w:ascii="仿宋_GB2312" w:eastAsia="仿宋_GB2312" w:hAnsi="宋体" w:cs="Times New Roman"/>
          <w:sz w:val="32"/>
          <w:szCs w:val="32"/>
        </w:rPr>
        <w:t>2.国谈药医保责任医师填写、经医院医保主管部门审核盖章的《参保患者</w:t>
      </w:r>
      <w:r w:rsidRPr="001C77A5">
        <w:rPr>
          <w:rFonts w:ascii="仿宋_GB2312" w:eastAsia="仿宋_GB2312" w:hAnsi="宋体" w:cs="Times New Roman"/>
          <w:sz w:val="32"/>
          <w:szCs w:val="32"/>
        </w:rPr>
        <w:t>“</w:t>
      </w:r>
      <w:r w:rsidRPr="001C77A5">
        <w:rPr>
          <w:rFonts w:ascii="仿宋_GB2312" w:eastAsia="仿宋_GB2312" w:hAnsi="宋体" w:cs="Times New Roman"/>
          <w:sz w:val="32"/>
          <w:szCs w:val="32"/>
        </w:rPr>
        <w:t>双通道</w:t>
      </w:r>
      <w:r w:rsidRPr="001C77A5">
        <w:rPr>
          <w:rFonts w:ascii="仿宋_GB2312" w:eastAsia="仿宋_GB2312" w:hAnsi="宋体" w:cs="Times New Roman"/>
          <w:sz w:val="32"/>
          <w:szCs w:val="32"/>
        </w:rPr>
        <w:t>”</w:t>
      </w:r>
      <w:r w:rsidRPr="001C77A5">
        <w:rPr>
          <w:rFonts w:ascii="仿宋_GB2312" w:eastAsia="仿宋_GB2312" w:hAnsi="宋体" w:cs="Times New Roman"/>
          <w:sz w:val="32"/>
          <w:szCs w:val="32"/>
        </w:rPr>
        <w:t>管理及单独支付药品用药申请表》或《参保患者</w:t>
      </w:r>
      <w:r w:rsidRPr="001C77A5">
        <w:rPr>
          <w:rFonts w:ascii="仿宋_GB2312" w:eastAsia="仿宋_GB2312" w:hAnsi="宋体" w:cs="Times New Roman"/>
          <w:sz w:val="32"/>
          <w:szCs w:val="32"/>
        </w:rPr>
        <w:t>“</w:t>
      </w:r>
      <w:r w:rsidRPr="001C77A5">
        <w:rPr>
          <w:rFonts w:ascii="仿宋_GB2312" w:eastAsia="仿宋_GB2312" w:hAnsi="宋体" w:cs="Times New Roman"/>
          <w:sz w:val="32"/>
          <w:szCs w:val="32"/>
        </w:rPr>
        <w:t>双通道</w:t>
      </w:r>
      <w:r w:rsidRPr="001C77A5">
        <w:rPr>
          <w:rFonts w:ascii="仿宋_GB2312" w:eastAsia="仿宋_GB2312" w:hAnsi="宋体" w:cs="Times New Roman"/>
          <w:sz w:val="32"/>
          <w:szCs w:val="32"/>
        </w:rPr>
        <w:t>”</w:t>
      </w:r>
      <w:r w:rsidRPr="001C77A5">
        <w:rPr>
          <w:rFonts w:ascii="仿宋_GB2312" w:eastAsia="仿宋_GB2312" w:hAnsi="宋体" w:cs="Times New Roman"/>
          <w:sz w:val="32"/>
          <w:szCs w:val="32"/>
        </w:rPr>
        <w:t>管理及单独支付药品使用评估表》（复查评估使用）。</w:t>
      </w:r>
    </w:p>
    <w:p w:rsidR="00E10DE3" w:rsidRPr="001C77A5" w:rsidRDefault="00094818">
      <w:pPr>
        <w:spacing w:line="560" w:lineRule="exact"/>
        <w:ind w:firstLineChars="200" w:firstLine="640"/>
        <w:jc w:val="left"/>
        <w:rPr>
          <w:rFonts w:ascii="仿宋_GB2312" w:eastAsia="仿宋_GB2312" w:hAnsi="宋体" w:cs="Times New Roman"/>
          <w:sz w:val="32"/>
          <w:szCs w:val="32"/>
        </w:rPr>
      </w:pPr>
      <w:r w:rsidRPr="001C77A5">
        <w:rPr>
          <w:rFonts w:ascii="仿宋_GB2312" w:eastAsia="仿宋_GB2312" w:hAnsi="宋体" w:cs="Times New Roman"/>
          <w:sz w:val="32"/>
          <w:szCs w:val="32"/>
        </w:rPr>
        <w:t>3.疾病诊断材料（包括病理检查报告、出院记录（小结）、门诊病历等）。</w:t>
      </w:r>
    </w:p>
    <w:p w:rsidR="00E10DE3" w:rsidRPr="001C77A5" w:rsidRDefault="00094818">
      <w:pPr>
        <w:spacing w:line="560" w:lineRule="exact"/>
        <w:ind w:firstLineChars="200" w:firstLine="640"/>
        <w:rPr>
          <w:rFonts w:ascii="楷体_GB2312" w:eastAsia="楷体_GB2312"/>
          <w:sz w:val="32"/>
          <w:szCs w:val="32"/>
        </w:rPr>
      </w:pPr>
      <w:r w:rsidRPr="001C77A5">
        <w:rPr>
          <w:rFonts w:ascii="楷体_GB2312" w:eastAsia="楷体_GB2312" w:hint="eastAsia"/>
          <w:sz w:val="32"/>
          <w:szCs w:val="32"/>
        </w:rPr>
        <w:t>（二）办理流程</w:t>
      </w:r>
    </w:p>
    <w:p w:rsidR="00E10DE3" w:rsidRPr="001C77A5" w:rsidRDefault="00094818">
      <w:pPr>
        <w:spacing w:line="560" w:lineRule="exact"/>
        <w:ind w:firstLineChars="200" w:firstLine="640"/>
        <w:rPr>
          <w:rFonts w:ascii="楷体_GB2312" w:eastAsia="楷体_GB2312"/>
          <w:sz w:val="32"/>
          <w:szCs w:val="32"/>
        </w:rPr>
      </w:pPr>
      <w:r w:rsidRPr="001C77A5">
        <w:rPr>
          <w:rFonts w:ascii="楷体_GB2312" w:eastAsia="楷体_GB2312" w:hint="eastAsia"/>
          <w:sz w:val="32"/>
          <w:szCs w:val="32"/>
        </w:rPr>
        <w:t>1.申请登记</w:t>
      </w:r>
    </w:p>
    <w:p w:rsidR="00E10DE3" w:rsidRPr="001C77A5" w:rsidRDefault="00094818">
      <w:pPr>
        <w:spacing w:line="560" w:lineRule="exact"/>
        <w:ind w:firstLineChars="200" w:firstLine="640"/>
        <w:rPr>
          <w:rFonts w:ascii="仿宋_GB2312" w:eastAsia="仿宋_GB2312"/>
          <w:sz w:val="32"/>
          <w:szCs w:val="32"/>
        </w:rPr>
      </w:pPr>
      <w:r w:rsidRPr="001C77A5">
        <w:rPr>
          <w:rFonts w:ascii="仿宋_GB2312" w:eastAsia="仿宋_GB2312" w:hint="eastAsia"/>
          <w:sz w:val="32"/>
          <w:szCs w:val="32"/>
        </w:rPr>
        <w:t>经国谈药医保责任医师诊断后，对需使用“双通道”管理及单独支付药品的参保患者，由责任医师填写《参保患者“双通道”管理及单独支付药品用药申请表》，经所在医疗机构医</w:t>
      </w:r>
      <w:r w:rsidRPr="001C77A5">
        <w:rPr>
          <w:rFonts w:ascii="仿宋_GB2312" w:eastAsia="仿宋_GB2312" w:hint="eastAsia"/>
          <w:sz w:val="32"/>
          <w:szCs w:val="32"/>
        </w:rPr>
        <w:lastRenderedPageBreak/>
        <w:t>保部门审核盖章后，医院实时通过医保接口线上或由参保患者持《申请表》等材料线下向医保经办机构报送备案。</w:t>
      </w:r>
    </w:p>
    <w:p w:rsidR="00E10DE3" w:rsidRPr="001C77A5" w:rsidRDefault="00094818">
      <w:pPr>
        <w:spacing w:line="560" w:lineRule="exact"/>
        <w:ind w:firstLineChars="200" w:firstLine="640"/>
        <w:rPr>
          <w:rFonts w:ascii="楷体_GB2312" w:eastAsia="楷体_GB2312"/>
          <w:sz w:val="32"/>
          <w:szCs w:val="32"/>
        </w:rPr>
      </w:pPr>
      <w:r w:rsidRPr="001C77A5">
        <w:rPr>
          <w:rFonts w:ascii="楷体_GB2312" w:eastAsia="楷体_GB2312" w:hint="eastAsia"/>
          <w:sz w:val="32"/>
          <w:szCs w:val="32"/>
        </w:rPr>
        <w:t>2.受理备案</w:t>
      </w:r>
    </w:p>
    <w:p w:rsidR="00E10DE3" w:rsidRPr="001C77A5" w:rsidRDefault="00094818">
      <w:pPr>
        <w:spacing w:line="560" w:lineRule="exact"/>
        <w:ind w:firstLineChars="200" w:firstLine="643"/>
        <w:rPr>
          <w:rFonts w:ascii="仿宋_GB2312" w:eastAsia="仿宋_GB2312"/>
          <w:sz w:val="32"/>
          <w:szCs w:val="32"/>
        </w:rPr>
      </w:pPr>
      <w:r w:rsidRPr="001C77A5">
        <w:rPr>
          <w:rFonts w:ascii="仿宋_GB2312" w:eastAsia="仿宋_GB2312" w:hint="eastAsia"/>
          <w:b/>
          <w:sz w:val="32"/>
          <w:szCs w:val="32"/>
        </w:rPr>
        <w:t>线上：</w:t>
      </w:r>
      <w:r w:rsidRPr="001C77A5">
        <w:rPr>
          <w:rFonts w:ascii="仿宋_GB2312" w:eastAsia="仿宋_GB2312" w:hint="eastAsia"/>
          <w:sz w:val="32"/>
          <w:szCs w:val="32"/>
        </w:rPr>
        <w:t>医保中心根据各国谈药定点医疗机构上报备案信息进行审核，符合规定的予以审核通过。</w:t>
      </w:r>
    </w:p>
    <w:p w:rsidR="00E10DE3" w:rsidRPr="001C77A5" w:rsidRDefault="00094818">
      <w:pPr>
        <w:spacing w:line="560" w:lineRule="exact"/>
        <w:ind w:firstLineChars="200" w:firstLine="643"/>
        <w:rPr>
          <w:rFonts w:ascii="仿宋_GB2312" w:eastAsia="仿宋_GB2312"/>
          <w:sz w:val="32"/>
          <w:szCs w:val="32"/>
        </w:rPr>
      </w:pPr>
      <w:r w:rsidRPr="001C77A5">
        <w:rPr>
          <w:rFonts w:ascii="仿宋_GB2312" w:eastAsia="仿宋_GB2312" w:hint="eastAsia"/>
          <w:b/>
          <w:sz w:val="32"/>
          <w:szCs w:val="32"/>
        </w:rPr>
        <w:t>线下：</w:t>
      </w:r>
      <w:r w:rsidRPr="001C77A5">
        <w:rPr>
          <w:rFonts w:ascii="仿宋_GB2312" w:eastAsia="仿宋_GB2312" w:hint="eastAsia"/>
          <w:sz w:val="32"/>
          <w:szCs w:val="32"/>
        </w:rPr>
        <w:t>医保经办机构窗口核验参保患者提供的国谈药《申请表》等病史材料，材料齐全符合办理条件的按规定进行国谈药品待遇登记。</w:t>
      </w:r>
    </w:p>
    <w:p w:rsidR="00E10DE3" w:rsidRPr="001C77A5" w:rsidRDefault="00094818">
      <w:pPr>
        <w:spacing w:line="560" w:lineRule="exact"/>
        <w:ind w:firstLineChars="200" w:firstLine="640"/>
        <w:rPr>
          <w:rFonts w:ascii="楷体_GB2312" w:eastAsia="楷体_GB2312"/>
          <w:sz w:val="32"/>
          <w:szCs w:val="32"/>
        </w:rPr>
      </w:pPr>
      <w:r w:rsidRPr="001C77A5">
        <w:rPr>
          <w:rFonts w:ascii="楷体_GB2312" w:eastAsia="楷体_GB2312" w:hint="eastAsia"/>
          <w:sz w:val="32"/>
          <w:szCs w:val="32"/>
        </w:rPr>
        <w:t>3.购采药</w:t>
      </w:r>
    </w:p>
    <w:p w:rsidR="00E10DE3" w:rsidRPr="001C77A5" w:rsidRDefault="00094818">
      <w:pPr>
        <w:spacing w:line="560" w:lineRule="exact"/>
        <w:ind w:firstLineChars="200" w:firstLine="640"/>
        <w:rPr>
          <w:rFonts w:ascii="仿宋_GB2312" w:eastAsia="仿宋_GB2312"/>
          <w:sz w:val="32"/>
          <w:szCs w:val="32"/>
        </w:rPr>
      </w:pPr>
      <w:r w:rsidRPr="001C77A5">
        <w:rPr>
          <w:rFonts w:ascii="仿宋_GB2312" w:eastAsia="仿宋_GB2312" w:hint="eastAsia"/>
          <w:sz w:val="32"/>
          <w:szCs w:val="32"/>
        </w:rPr>
        <w:t>参保患者凭责任医师开具的处方，持医保电子凭证或社会保障卡至选定的国谈药定点医药机构购药。</w:t>
      </w:r>
    </w:p>
    <w:p w:rsidR="00E10DE3" w:rsidRPr="001C77A5" w:rsidRDefault="00094818">
      <w:pPr>
        <w:spacing w:line="560" w:lineRule="exact"/>
        <w:ind w:firstLineChars="200" w:firstLine="640"/>
        <w:rPr>
          <w:rFonts w:ascii="楷体_GB2312" w:eastAsia="楷体_GB2312"/>
          <w:sz w:val="32"/>
          <w:szCs w:val="32"/>
        </w:rPr>
      </w:pPr>
      <w:r w:rsidRPr="001C77A5">
        <w:rPr>
          <w:rFonts w:ascii="楷体_GB2312" w:eastAsia="楷体_GB2312" w:hint="eastAsia"/>
          <w:sz w:val="32"/>
          <w:szCs w:val="32"/>
        </w:rPr>
        <w:t>4.费用结算</w:t>
      </w:r>
    </w:p>
    <w:p w:rsidR="00E10DE3" w:rsidRPr="001C77A5" w:rsidRDefault="00094818">
      <w:pPr>
        <w:spacing w:line="560" w:lineRule="exact"/>
        <w:ind w:firstLineChars="200" w:firstLine="640"/>
        <w:rPr>
          <w:rFonts w:ascii="仿宋_GB2312" w:eastAsia="仿宋_GB2312"/>
          <w:sz w:val="32"/>
          <w:szCs w:val="32"/>
        </w:rPr>
      </w:pPr>
      <w:r w:rsidRPr="001C77A5">
        <w:rPr>
          <w:rFonts w:ascii="仿宋_GB2312" w:eastAsia="仿宋_GB2312" w:hint="eastAsia"/>
          <w:sz w:val="32"/>
          <w:szCs w:val="32"/>
        </w:rPr>
        <w:t>参保患者在门诊期间使用“双通道”管理及单独支付药品时，直接扫码或刷卡结算。</w:t>
      </w:r>
    </w:p>
    <w:p w:rsidR="00E10DE3" w:rsidRPr="001C77A5" w:rsidRDefault="00094818">
      <w:pPr>
        <w:spacing w:line="560" w:lineRule="exact"/>
        <w:ind w:firstLineChars="200" w:firstLine="640"/>
        <w:rPr>
          <w:rFonts w:ascii="楷体_GB2312" w:eastAsia="楷体_GB2312"/>
          <w:sz w:val="32"/>
          <w:szCs w:val="32"/>
        </w:rPr>
      </w:pPr>
      <w:r w:rsidRPr="001C77A5">
        <w:rPr>
          <w:rFonts w:ascii="楷体_GB2312" w:eastAsia="楷体_GB2312" w:hint="eastAsia"/>
          <w:sz w:val="32"/>
          <w:szCs w:val="32"/>
        </w:rPr>
        <w:t>5.复查评估</w:t>
      </w:r>
    </w:p>
    <w:p w:rsidR="00E10DE3" w:rsidRPr="001C77A5" w:rsidRDefault="00094818">
      <w:pPr>
        <w:spacing w:line="560" w:lineRule="exact"/>
        <w:ind w:firstLineChars="200" w:firstLine="640"/>
        <w:rPr>
          <w:rFonts w:ascii="仿宋_GB2312" w:eastAsia="仿宋_GB2312"/>
          <w:sz w:val="32"/>
          <w:szCs w:val="32"/>
        </w:rPr>
      </w:pPr>
      <w:r w:rsidRPr="001C77A5">
        <w:rPr>
          <w:rFonts w:ascii="仿宋_GB2312" w:eastAsia="仿宋_GB2312" w:hint="eastAsia"/>
          <w:sz w:val="32"/>
          <w:szCs w:val="32"/>
        </w:rPr>
        <w:t>参保患者享受医保待遇期间，须定期到国谈药医保责任医师处复查评估，以《参保患者“双通道”管理及单独支付药品使用评估表》记录，由责任医师签字确认，并根据评估结果及时调整用药方案。复查评估时间最长不超过一年，具体间隔时间由责任医师确定。</w:t>
      </w:r>
    </w:p>
    <w:p w:rsidR="00446246" w:rsidRPr="001C77A5" w:rsidRDefault="00094818" w:rsidP="009F3E8F">
      <w:pPr>
        <w:spacing w:line="560" w:lineRule="exact"/>
        <w:ind w:firstLineChars="200" w:firstLine="640"/>
        <w:rPr>
          <w:rFonts w:ascii="黑体" w:eastAsia="黑体" w:hAnsi="黑体"/>
          <w:sz w:val="32"/>
          <w:szCs w:val="32"/>
        </w:rPr>
      </w:pPr>
      <w:r w:rsidRPr="001C77A5">
        <w:rPr>
          <w:rFonts w:ascii="黑体" w:eastAsia="黑体" w:hAnsi="黑体" w:hint="eastAsia"/>
          <w:sz w:val="32"/>
          <w:szCs w:val="32"/>
        </w:rPr>
        <w:t>五、注意事项</w:t>
      </w:r>
    </w:p>
    <w:tbl>
      <w:tblPr>
        <w:tblStyle w:val="a6"/>
        <w:tblW w:w="0" w:type="auto"/>
        <w:tblInd w:w="108" w:type="dxa"/>
        <w:tblLook w:val="04A0"/>
      </w:tblPr>
      <w:tblGrid>
        <w:gridCol w:w="1560"/>
        <w:gridCol w:w="708"/>
        <w:gridCol w:w="6237"/>
      </w:tblGrid>
      <w:tr w:rsidR="00082D43" w:rsidRPr="001C77A5" w:rsidTr="009A4750">
        <w:trPr>
          <w:trHeight w:hRule="exact" w:val="567"/>
        </w:trPr>
        <w:tc>
          <w:tcPr>
            <w:tcW w:w="1560" w:type="dxa"/>
            <w:vAlign w:val="center"/>
          </w:tcPr>
          <w:p w:rsidR="00082D43" w:rsidRPr="001C77A5" w:rsidRDefault="00FA419A" w:rsidP="00663497">
            <w:pPr>
              <w:spacing w:line="320" w:lineRule="exact"/>
              <w:jc w:val="center"/>
              <w:rPr>
                <w:rFonts w:asciiTheme="minorEastAsia" w:hAnsiTheme="minorEastAsia"/>
                <w:b/>
                <w:szCs w:val="21"/>
              </w:rPr>
            </w:pPr>
            <w:r w:rsidRPr="001C77A5">
              <w:rPr>
                <w:rFonts w:asciiTheme="minorEastAsia" w:hAnsiTheme="minorEastAsia" w:hint="eastAsia"/>
                <w:b/>
                <w:szCs w:val="21"/>
              </w:rPr>
              <w:t>常见问题</w:t>
            </w:r>
          </w:p>
        </w:tc>
        <w:tc>
          <w:tcPr>
            <w:tcW w:w="6945" w:type="dxa"/>
            <w:gridSpan w:val="2"/>
            <w:vAlign w:val="center"/>
          </w:tcPr>
          <w:p w:rsidR="00082D43" w:rsidRPr="001C77A5" w:rsidRDefault="00FA419A" w:rsidP="00663497">
            <w:pPr>
              <w:spacing w:line="320" w:lineRule="exact"/>
              <w:jc w:val="center"/>
              <w:rPr>
                <w:rFonts w:asciiTheme="minorEastAsia" w:hAnsiTheme="minorEastAsia"/>
                <w:b/>
                <w:szCs w:val="21"/>
              </w:rPr>
            </w:pPr>
            <w:r w:rsidRPr="001C77A5">
              <w:rPr>
                <w:rFonts w:asciiTheme="minorEastAsia" w:hAnsiTheme="minorEastAsia" w:hint="eastAsia"/>
                <w:b/>
                <w:szCs w:val="21"/>
              </w:rPr>
              <w:t>处理方法</w:t>
            </w:r>
          </w:p>
        </w:tc>
      </w:tr>
      <w:tr w:rsidR="00082D43" w:rsidRPr="001C77A5" w:rsidTr="009A4750">
        <w:trPr>
          <w:trHeight w:hRule="exact" w:val="850"/>
        </w:trPr>
        <w:tc>
          <w:tcPr>
            <w:tcW w:w="1560" w:type="dxa"/>
            <w:vAlign w:val="center"/>
          </w:tcPr>
          <w:p w:rsidR="009A4750" w:rsidRPr="001C77A5" w:rsidRDefault="003605E9" w:rsidP="009556A7">
            <w:pPr>
              <w:spacing w:line="320" w:lineRule="exact"/>
              <w:jc w:val="center"/>
              <w:rPr>
                <w:rFonts w:asciiTheme="minorEastAsia" w:hAnsiTheme="minorEastAsia"/>
                <w:szCs w:val="21"/>
              </w:rPr>
            </w:pPr>
            <w:r w:rsidRPr="001C77A5">
              <w:rPr>
                <w:rFonts w:asciiTheme="minorEastAsia" w:hAnsiTheme="minorEastAsia" w:hint="eastAsia"/>
                <w:szCs w:val="21"/>
              </w:rPr>
              <w:t>是否已进行</w:t>
            </w:r>
          </w:p>
          <w:p w:rsidR="00082D43" w:rsidRPr="001C77A5" w:rsidRDefault="003605E9" w:rsidP="009556A7">
            <w:pPr>
              <w:spacing w:line="320" w:lineRule="exact"/>
              <w:jc w:val="center"/>
              <w:rPr>
                <w:rFonts w:asciiTheme="minorEastAsia" w:hAnsiTheme="minorEastAsia"/>
                <w:szCs w:val="21"/>
              </w:rPr>
            </w:pPr>
            <w:r w:rsidRPr="001C77A5">
              <w:rPr>
                <w:rFonts w:asciiTheme="minorEastAsia" w:hAnsiTheme="minorEastAsia" w:hint="eastAsia"/>
                <w:szCs w:val="21"/>
              </w:rPr>
              <w:t>国谈药备案</w:t>
            </w:r>
          </w:p>
        </w:tc>
        <w:tc>
          <w:tcPr>
            <w:tcW w:w="6945" w:type="dxa"/>
            <w:gridSpan w:val="2"/>
            <w:vAlign w:val="center"/>
          </w:tcPr>
          <w:p w:rsidR="00082D43" w:rsidRPr="001C77A5" w:rsidRDefault="003605E9" w:rsidP="00354A4D">
            <w:pPr>
              <w:spacing w:line="320" w:lineRule="exact"/>
              <w:rPr>
                <w:rFonts w:asciiTheme="minorEastAsia" w:hAnsiTheme="minorEastAsia"/>
                <w:szCs w:val="21"/>
              </w:rPr>
            </w:pPr>
            <w:r w:rsidRPr="001C77A5">
              <w:rPr>
                <w:rFonts w:asciiTheme="minorEastAsia" w:hAnsiTheme="minorEastAsia" w:hint="eastAsia"/>
                <w:szCs w:val="21"/>
              </w:rPr>
              <w:t>参保人员须至国谈药定点医疗机构办理备案，从备案完成之日起享受待遇。未通过备案的参保人员在使用国谈药时全额自费结算。</w:t>
            </w:r>
          </w:p>
        </w:tc>
      </w:tr>
      <w:tr w:rsidR="00082D43" w:rsidRPr="001C77A5" w:rsidTr="009A4750">
        <w:trPr>
          <w:trHeight w:hRule="exact" w:val="847"/>
        </w:trPr>
        <w:tc>
          <w:tcPr>
            <w:tcW w:w="1560" w:type="dxa"/>
            <w:vAlign w:val="center"/>
          </w:tcPr>
          <w:p w:rsidR="0004185E" w:rsidRPr="001C77A5" w:rsidRDefault="003605E9" w:rsidP="009556A7">
            <w:pPr>
              <w:spacing w:line="320" w:lineRule="exact"/>
              <w:jc w:val="center"/>
              <w:rPr>
                <w:rFonts w:asciiTheme="minorEastAsia" w:hAnsiTheme="minorEastAsia"/>
                <w:szCs w:val="21"/>
              </w:rPr>
            </w:pPr>
            <w:r w:rsidRPr="001C77A5">
              <w:rPr>
                <w:rFonts w:asciiTheme="minorEastAsia" w:hAnsiTheme="minorEastAsia" w:hint="eastAsia"/>
                <w:szCs w:val="21"/>
              </w:rPr>
              <w:t>是否须同时</w:t>
            </w:r>
          </w:p>
          <w:p w:rsidR="00082D43" w:rsidRPr="001C77A5" w:rsidRDefault="003605E9" w:rsidP="009556A7">
            <w:pPr>
              <w:spacing w:line="320" w:lineRule="exact"/>
              <w:jc w:val="center"/>
              <w:rPr>
                <w:rFonts w:asciiTheme="minorEastAsia" w:hAnsiTheme="minorEastAsia"/>
                <w:szCs w:val="21"/>
              </w:rPr>
            </w:pPr>
            <w:r w:rsidRPr="001C77A5">
              <w:rPr>
                <w:rFonts w:asciiTheme="minorEastAsia" w:hAnsiTheme="minorEastAsia" w:hint="eastAsia"/>
                <w:szCs w:val="21"/>
              </w:rPr>
              <w:t>进行门特备案</w:t>
            </w:r>
          </w:p>
        </w:tc>
        <w:tc>
          <w:tcPr>
            <w:tcW w:w="6945" w:type="dxa"/>
            <w:gridSpan w:val="2"/>
            <w:vAlign w:val="center"/>
          </w:tcPr>
          <w:p w:rsidR="00082D43" w:rsidRPr="001C77A5" w:rsidRDefault="003605E9" w:rsidP="00354A4D">
            <w:pPr>
              <w:spacing w:line="320" w:lineRule="exact"/>
              <w:rPr>
                <w:rFonts w:asciiTheme="minorEastAsia" w:hAnsiTheme="minorEastAsia"/>
                <w:szCs w:val="21"/>
              </w:rPr>
            </w:pPr>
            <w:r w:rsidRPr="001C77A5">
              <w:rPr>
                <w:rFonts w:asciiTheme="minorEastAsia" w:hAnsiTheme="minorEastAsia" w:hint="eastAsia"/>
                <w:szCs w:val="21"/>
              </w:rPr>
              <w:t>国谈药中纳入我市门特项目用药范围的药品，须同时办理国谈药备案和门诊特殊病备案。</w:t>
            </w:r>
          </w:p>
        </w:tc>
      </w:tr>
      <w:tr w:rsidR="00082D43" w:rsidRPr="001C77A5" w:rsidTr="009A4750">
        <w:trPr>
          <w:trHeight w:hRule="exact" w:val="1427"/>
        </w:trPr>
        <w:tc>
          <w:tcPr>
            <w:tcW w:w="1560" w:type="dxa"/>
            <w:vAlign w:val="center"/>
          </w:tcPr>
          <w:p w:rsidR="00082D43" w:rsidRPr="001C77A5" w:rsidRDefault="003605E9" w:rsidP="009556A7">
            <w:pPr>
              <w:spacing w:line="320" w:lineRule="exact"/>
              <w:jc w:val="center"/>
              <w:rPr>
                <w:rFonts w:asciiTheme="minorEastAsia" w:hAnsiTheme="minorEastAsia"/>
                <w:szCs w:val="21"/>
              </w:rPr>
            </w:pPr>
            <w:r w:rsidRPr="001C77A5">
              <w:rPr>
                <w:rFonts w:asciiTheme="minorEastAsia" w:hAnsiTheme="minorEastAsia" w:hint="eastAsia"/>
                <w:szCs w:val="21"/>
              </w:rPr>
              <w:lastRenderedPageBreak/>
              <w:t>是否在约定的国谈药定点医疗机构或零售药店购药</w:t>
            </w:r>
          </w:p>
        </w:tc>
        <w:tc>
          <w:tcPr>
            <w:tcW w:w="6945" w:type="dxa"/>
            <w:gridSpan w:val="2"/>
            <w:vAlign w:val="center"/>
          </w:tcPr>
          <w:p w:rsidR="00082D43" w:rsidRPr="001C77A5" w:rsidRDefault="003605E9" w:rsidP="00354A4D">
            <w:pPr>
              <w:spacing w:line="320" w:lineRule="exact"/>
              <w:rPr>
                <w:rFonts w:asciiTheme="minorEastAsia" w:hAnsiTheme="minorEastAsia"/>
                <w:szCs w:val="21"/>
              </w:rPr>
            </w:pPr>
            <w:r w:rsidRPr="001C77A5">
              <w:rPr>
                <w:rFonts w:asciiTheme="minorEastAsia" w:hAnsiTheme="minorEastAsia" w:hint="eastAsia"/>
                <w:szCs w:val="21"/>
              </w:rPr>
              <w:t>参保人员在办理备案时可选择1家国谈药定点医疗机构作为本人诊治的定点医疗机构，也可以选择1家国谈药定点零售药店作为本人购取药的定点零售药店。已完成备案的参保人员在非国谈药定点医药机构使用国谈药产生的费用，由参保人员全额自费结算。</w:t>
            </w:r>
          </w:p>
        </w:tc>
      </w:tr>
      <w:tr w:rsidR="00082D43" w:rsidRPr="001C77A5" w:rsidTr="008F0735">
        <w:trPr>
          <w:trHeight w:hRule="exact" w:val="992"/>
        </w:trPr>
        <w:tc>
          <w:tcPr>
            <w:tcW w:w="1560" w:type="dxa"/>
            <w:vAlign w:val="center"/>
          </w:tcPr>
          <w:p w:rsidR="00082D43" w:rsidRPr="001C77A5" w:rsidRDefault="003605E9" w:rsidP="009556A7">
            <w:pPr>
              <w:spacing w:line="320" w:lineRule="exact"/>
              <w:jc w:val="center"/>
              <w:rPr>
                <w:rFonts w:asciiTheme="minorEastAsia" w:hAnsiTheme="minorEastAsia"/>
                <w:szCs w:val="21"/>
              </w:rPr>
            </w:pPr>
            <w:r w:rsidRPr="001C77A5">
              <w:rPr>
                <w:rFonts w:asciiTheme="minorEastAsia" w:hAnsiTheme="minorEastAsia" w:hint="eastAsia"/>
                <w:szCs w:val="21"/>
              </w:rPr>
              <w:t>购买药品的规格是否与备案药品一致</w:t>
            </w:r>
          </w:p>
        </w:tc>
        <w:tc>
          <w:tcPr>
            <w:tcW w:w="6945" w:type="dxa"/>
            <w:gridSpan w:val="2"/>
            <w:vAlign w:val="center"/>
          </w:tcPr>
          <w:p w:rsidR="00082D43" w:rsidRPr="001C77A5" w:rsidRDefault="003605E9" w:rsidP="00354A4D">
            <w:pPr>
              <w:spacing w:line="320" w:lineRule="exact"/>
              <w:rPr>
                <w:rFonts w:asciiTheme="minorEastAsia" w:hAnsiTheme="minorEastAsia"/>
                <w:szCs w:val="21"/>
              </w:rPr>
            </w:pPr>
            <w:r w:rsidRPr="001C77A5">
              <w:rPr>
                <w:rFonts w:asciiTheme="minorEastAsia" w:hAnsiTheme="minorEastAsia" w:hint="eastAsia"/>
                <w:szCs w:val="21"/>
              </w:rPr>
              <w:t>国谈药"双通道"</w:t>
            </w:r>
            <w:r w:rsidR="00E1052C" w:rsidRPr="001C77A5">
              <w:rPr>
                <w:rFonts w:asciiTheme="minorEastAsia" w:hAnsiTheme="minorEastAsia" w:hint="eastAsia"/>
                <w:szCs w:val="21"/>
              </w:rPr>
              <w:t>管理及单独支付药品备案规格与购买药品的规格不一致时无法享受待遇</w:t>
            </w:r>
            <w:r w:rsidRPr="001C77A5">
              <w:rPr>
                <w:rFonts w:asciiTheme="minorEastAsia" w:hAnsiTheme="minorEastAsia" w:hint="eastAsia"/>
                <w:szCs w:val="21"/>
              </w:rPr>
              <w:t>。需重新申请正确药品规格的备案。</w:t>
            </w:r>
          </w:p>
        </w:tc>
      </w:tr>
      <w:tr w:rsidR="00082D43" w:rsidRPr="001C77A5" w:rsidTr="008F0735">
        <w:trPr>
          <w:trHeight w:hRule="exact" w:val="2126"/>
        </w:trPr>
        <w:tc>
          <w:tcPr>
            <w:tcW w:w="1560" w:type="dxa"/>
            <w:vAlign w:val="center"/>
          </w:tcPr>
          <w:p w:rsidR="00D15B6F" w:rsidRPr="001C77A5" w:rsidRDefault="00FE796E" w:rsidP="009556A7">
            <w:pPr>
              <w:spacing w:line="320" w:lineRule="exact"/>
              <w:jc w:val="center"/>
              <w:rPr>
                <w:rFonts w:asciiTheme="minorEastAsia" w:hAnsiTheme="minorEastAsia"/>
                <w:szCs w:val="21"/>
              </w:rPr>
            </w:pPr>
            <w:r w:rsidRPr="001C77A5">
              <w:rPr>
                <w:rFonts w:asciiTheme="minorEastAsia" w:hAnsiTheme="minorEastAsia" w:hint="eastAsia"/>
                <w:szCs w:val="21"/>
              </w:rPr>
              <w:t>是否及时</w:t>
            </w:r>
          </w:p>
          <w:p w:rsidR="00082D43" w:rsidRPr="001C77A5" w:rsidRDefault="00FE796E" w:rsidP="009556A7">
            <w:pPr>
              <w:spacing w:line="320" w:lineRule="exact"/>
              <w:jc w:val="center"/>
              <w:rPr>
                <w:rFonts w:asciiTheme="minorEastAsia" w:hAnsiTheme="minorEastAsia"/>
                <w:szCs w:val="21"/>
              </w:rPr>
            </w:pPr>
            <w:r w:rsidRPr="001C77A5">
              <w:rPr>
                <w:rFonts w:asciiTheme="minorEastAsia" w:hAnsiTheme="minorEastAsia" w:hint="eastAsia"/>
                <w:szCs w:val="21"/>
              </w:rPr>
              <w:t>复查评估</w:t>
            </w:r>
          </w:p>
        </w:tc>
        <w:tc>
          <w:tcPr>
            <w:tcW w:w="6945" w:type="dxa"/>
            <w:gridSpan w:val="2"/>
            <w:vAlign w:val="center"/>
          </w:tcPr>
          <w:p w:rsidR="00723212" w:rsidRPr="001C77A5" w:rsidRDefault="003605E9" w:rsidP="00354A4D">
            <w:pPr>
              <w:spacing w:line="320" w:lineRule="exact"/>
              <w:rPr>
                <w:rFonts w:asciiTheme="minorEastAsia" w:hAnsiTheme="minorEastAsia"/>
                <w:szCs w:val="21"/>
              </w:rPr>
            </w:pPr>
            <w:r w:rsidRPr="001C77A5">
              <w:rPr>
                <w:rFonts w:asciiTheme="minorEastAsia" w:hAnsiTheme="minorEastAsia" w:hint="eastAsia"/>
                <w:szCs w:val="21"/>
              </w:rPr>
              <w:t>参保人员享受医保待遇期间，须定期到国谈药医保责任医师处复查评估，以《参保患者"双通道"</w:t>
            </w:r>
            <w:r w:rsidR="00FE796E" w:rsidRPr="001C77A5">
              <w:rPr>
                <w:rFonts w:asciiTheme="minorEastAsia" w:hAnsiTheme="minorEastAsia" w:hint="eastAsia"/>
                <w:szCs w:val="21"/>
              </w:rPr>
              <w:t>管理及单独支付药品使用评估表》记录，由责任医师签字</w:t>
            </w:r>
            <w:r w:rsidR="00723212" w:rsidRPr="001C77A5">
              <w:rPr>
                <w:rFonts w:asciiTheme="minorEastAsia" w:hAnsiTheme="minorEastAsia" w:hint="eastAsia"/>
                <w:szCs w:val="21"/>
              </w:rPr>
              <w:t>确认，并根据评估结果</w:t>
            </w:r>
            <w:r w:rsidRPr="001C77A5">
              <w:rPr>
                <w:rFonts w:asciiTheme="minorEastAsia" w:hAnsiTheme="minorEastAsia" w:hint="eastAsia"/>
                <w:szCs w:val="21"/>
              </w:rPr>
              <w:t>及时调整用药</w:t>
            </w:r>
            <w:r w:rsidR="00723212" w:rsidRPr="001C77A5">
              <w:rPr>
                <w:rFonts w:asciiTheme="minorEastAsia" w:hAnsiTheme="minorEastAsia" w:hint="eastAsia"/>
                <w:szCs w:val="21"/>
              </w:rPr>
              <w:t>方案。复查评估时间最长不超过一年，具体间隔</w:t>
            </w:r>
            <w:r w:rsidRPr="001C77A5">
              <w:rPr>
                <w:rFonts w:asciiTheme="minorEastAsia" w:hAnsiTheme="minorEastAsia" w:hint="eastAsia"/>
                <w:szCs w:val="21"/>
              </w:rPr>
              <w:t>时间由责任医师确定。</w:t>
            </w:r>
          </w:p>
          <w:p w:rsidR="00082D43" w:rsidRPr="001C77A5" w:rsidRDefault="003605E9" w:rsidP="00354A4D">
            <w:pPr>
              <w:spacing w:line="320" w:lineRule="exact"/>
              <w:rPr>
                <w:rFonts w:asciiTheme="minorEastAsia" w:hAnsiTheme="minorEastAsia"/>
                <w:szCs w:val="21"/>
              </w:rPr>
            </w:pPr>
            <w:r w:rsidRPr="001C77A5">
              <w:rPr>
                <w:rFonts w:asciiTheme="minorEastAsia" w:hAnsiTheme="minorEastAsia" w:hint="eastAsia"/>
                <w:szCs w:val="21"/>
              </w:rPr>
              <w:t>经复查评估，不符合临床医学</w:t>
            </w:r>
            <w:r w:rsidR="006D1EF5" w:rsidRPr="001C77A5">
              <w:rPr>
                <w:rFonts w:asciiTheme="minorEastAsia" w:hAnsiTheme="minorEastAsia" w:hint="eastAsia"/>
                <w:szCs w:val="21"/>
              </w:rPr>
              <w:t>诊断使用国谈药标准的参保患者，不再享受相应待遇。未按规定时限进行复查的，应当</w:t>
            </w:r>
            <w:r w:rsidRPr="001C77A5">
              <w:rPr>
                <w:rFonts w:asciiTheme="minorEastAsia" w:hAnsiTheme="minorEastAsia" w:hint="eastAsia"/>
                <w:szCs w:val="21"/>
              </w:rPr>
              <w:t>暂停或取消其相关医保待遇。</w:t>
            </w:r>
          </w:p>
        </w:tc>
      </w:tr>
      <w:tr w:rsidR="00082D43" w:rsidRPr="001C77A5" w:rsidTr="008F0735">
        <w:trPr>
          <w:trHeight w:hRule="exact" w:val="1123"/>
        </w:trPr>
        <w:tc>
          <w:tcPr>
            <w:tcW w:w="1560" w:type="dxa"/>
            <w:vAlign w:val="center"/>
          </w:tcPr>
          <w:p w:rsidR="00D15B6F" w:rsidRPr="001C77A5" w:rsidRDefault="00D43A87" w:rsidP="009556A7">
            <w:pPr>
              <w:spacing w:line="320" w:lineRule="exact"/>
              <w:jc w:val="center"/>
              <w:rPr>
                <w:rFonts w:asciiTheme="minorEastAsia" w:hAnsiTheme="minorEastAsia"/>
                <w:szCs w:val="21"/>
              </w:rPr>
            </w:pPr>
            <w:r w:rsidRPr="001C77A5">
              <w:rPr>
                <w:rFonts w:asciiTheme="minorEastAsia" w:hAnsiTheme="minorEastAsia" w:hint="eastAsia"/>
                <w:szCs w:val="21"/>
              </w:rPr>
              <w:t>购买药品数量是否已超过</w:t>
            </w:r>
          </w:p>
          <w:p w:rsidR="00082D43" w:rsidRPr="001C77A5" w:rsidRDefault="00D43A87" w:rsidP="009556A7">
            <w:pPr>
              <w:spacing w:line="320" w:lineRule="exact"/>
              <w:jc w:val="center"/>
              <w:rPr>
                <w:rFonts w:asciiTheme="minorEastAsia" w:hAnsiTheme="minorEastAsia"/>
                <w:szCs w:val="21"/>
              </w:rPr>
            </w:pPr>
            <w:r w:rsidRPr="001C77A5">
              <w:rPr>
                <w:rFonts w:asciiTheme="minorEastAsia" w:hAnsiTheme="minorEastAsia" w:hint="eastAsia"/>
                <w:szCs w:val="21"/>
              </w:rPr>
              <w:t>备案数量</w:t>
            </w:r>
          </w:p>
        </w:tc>
        <w:tc>
          <w:tcPr>
            <w:tcW w:w="6945" w:type="dxa"/>
            <w:gridSpan w:val="2"/>
            <w:vAlign w:val="center"/>
          </w:tcPr>
          <w:p w:rsidR="00082D43" w:rsidRPr="001C77A5" w:rsidRDefault="008617D1" w:rsidP="00E44BE9">
            <w:pPr>
              <w:spacing w:line="320" w:lineRule="exact"/>
              <w:rPr>
                <w:rFonts w:asciiTheme="minorEastAsia" w:hAnsiTheme="minorEastAsia"/>
                <w:szCs w:val="21"/>
              </w:rPr>
            </w:pPr>
            <w:r w:rsidRPr="001C77A5">
              <w:rPr>
                <w:rFonts w:asciiTheme="minorEastAsia" w:hAnsiTheme="minorEastAsia" w:hint="eastAsia"/>
                <w:szCs w:val="21"/>
              </w:rPr>
              <w:t>备案有效期期间，若购药时提示药品备案数量已用完，需至</w:t>
            </w:r>
            <w:r w:rsidR="003605E9" w:rsidRPr="001C77A5">
              <w:rPr>
                <w:rFonts w:asciiTheme="minorEastAsia" w:hAnsiTheme="minorEastAsia" w:hint="eastAsia"/>
                <w:szCs w:val="21"/>
              </w:rPr>
              <w:t>医院再次申请备案。</w:t>
            </w:r>
          </w:p>
        </w:tc>
      </w:tr>
      <w:tr w:rsidR="00964538" w:rsidRPr="001C77A5" w:rsidTr="008F0735">
        <w:trPr>
          <w:trHeight w:hRule="exact" w:val="2131"/>
        </w:trPr>
        <w:tc>
          <w:tcPr>
            <w:tcW w:w="1560" w:type="dxa"/>
            <w:vMerge w:val="restart"/>
            <w:vAlign w:val="center"/>
          </w:tcPr>
          <w:p w:rsidR="00D15B6F" w:rsidRPr="001C77A5" w:rsidRDefault="00964538" w:rsidP="009556A7">
            <w:pPr>
              <w:spacing w:line="320" w:lineRule="exact"/>
              <w:jc w:val="center"/>
              <w:rPr>
                <w:rFonts w:asciiTheme="minorEastAsia" w:hAnsiTheme="minorEastAsia"/>
                <w:szCs w:val="21"/>
              </w:rPr>
            </w:pPr>
            <w:r w:rsidRPr="001C77A5">
              <w:rPr>
                <w:rFonts w:asciiTheme="minorEastAsia" w:hAnsiTheme="minorEastAsia" w:hint="eastAsia"/>
                <w:szCs w:val="21"/>
              </w:rPr>
              <w:t>异地购买</w:t>
            </w:r>
          </w:p>
          <w:p w:rsidR="00D15B6F" w:rsidRPr="001C77A5" w:rsidRDefault="00964538" w:rsidP="009556A7">
            <w:pPr>
              <w:spacing w:line="320" w:lineRule="exact"/>
              <w:jc w:val="center"/>
              <w:rPr>
                <w:rFonts w:asciiTheme="minorEastAsia" w:hAnsiTheme="minorEastAsia"/>
                <w:szCs w:val="21"/>
              </w:rPr>
            </w:pPr>
            <w:r w:rsidRPr="001C77A5">
              <w:rPr>
                <w:rFonts w:asciiTheme="minorEastAsia" w:hAnsiTheme="minorEastAsia" w:hint="eastAsia"/>
                <w:szCs w:val="21"/>
              </w:rPr>
              <w:t>国谈药品</w:t>
            </w:r>
          </w:p>
          <w:p w:rsidR="00964538" w:rsidRPr="001C77A5" w:rsidRDefault="00964538" w:rsidP="009556A7">
            <w:pPr>
              <w:spacing w:line="320" w:lineRule="exact"/>
              <w:jc w:val="center"/>
              <w:rPr>
                <w:rFonts w:asciiTheme="minorEastAsia" w:hAnsiTheme="minorEastAsia"/>
                <w:szCs w:val="21"/>
              </w:rPr>
            </w:pPr>
            <w:r w:rsidRPr="001C77A5">
              <w:rPr>
                <w:rFonts w:asciiTheme="minorEastAsia" w:hAnsiTheme="minorEastAsia" w:hint="eastAsia"/>
                <w:szCs w:val="21"/>
              </w:rPr>
              <w:t>需注意什么</w:t>
            </w:r>
          </w:p>
        </w:tc>
        <w:tc>
          <w:tcPr>
            <w:tcW w:w="708" w:type="dxa"/>
            <w:vAlign w:val="center"/>
          </w:tcPr>
          <w:p w:rsidR="00964538" w:rsidRPr="001C77A5" w:rsidRDefault="00964538" w:rsidP="009556A7">
            <w:pPr>
              <w:spacing w:line="320" w:lineRule="exact"/>
              <w:jc w:val="center"/>
              <w:rPr>
                <w:rFonts w:asciiTheme="minorEastAsia" w:hAnsiTheme="minorEastAsia"/>
                <w:szCs w:val="21"/>
              </w:rPr>
            </w:pPr>
            <w:r w:rsidRPr="001C77A5">
              <w:rPr>
                <w:rFonts w:asciiTheme="minorEastAsia" w:hAnsiTheme="minorEastAsia" w:hint="eastAsia"/>
                <w:szCs w:val="21"/>
              </w:rPr>
              <w:t>省内异地就医</w:t>
            </w:r>
          </w:p>
        </w:tc>
        <w:tc>
          <w:tcPr>
            <w:tcW w:w="6237" w:type="dxa"/>
            <w:vAlign w:val="center"/>
          </w:tcPr>
          <w:p w:rsidR="00C373E7" w:rsidRPr="001C77A5" w:rsidRDefault="00964538" w:rsidP="00E44BE9">
            <w:pPr>
              <w:spacing w:line="320" w:lineRule="exact"/>
              <w:rPr>
                <w:rFonts w:asciiTheme="minorEastAsia" w:hAnsiTheme="minorEastAsia"/>
                <w:szCs w:val="21"/>
              </w:rPr>
            </w:pPr>
            <w:r w:rsidRPr="001C77A5">
              <w:rPr>
                <w:rFonts w:asciiTheme="minorEastAsia" w:hAnsiTheme="minorEastAsia" w:hint="eastAsia"/>
                <w:szCs w:val="21"/>
              </w:rPr>
              <w:t>参保人员可在就医地</w:t>
            </w:r>
            <w:r w:rsidR="00C373E7" w:rsidRPr="001C77A5">
              <w:rPr>
                <w:rFonts w:asciiTheme="minorEastAsia" w:hAnsiTheme="minorEastAsia" w:hint="eastAsia"/>
                <w:szCs w:val="21"/>
              </w:rPr>
              <w:t>国谈药遴选医药机构中选择1家国谈药定点医疗机构、</w:t>
            </w:r>
            <w:r w:rsidRPr="001C77A5">
              <w:rPr>
                <w:rFonts w:asciiTheme="minorEastAsia" w:hAnsiTheme="minorEastAsia" w:hint="eastAsia"/>
                <w:szCs w:val="21"/>
              </w:rPr>
              <w:t>1</w:t>
            </w:r>
            <w:r w:rsidR="00C373E7" w:rsidRPr="001C77A5">
              <w:rPr>
                <w:rFonts w:asciiTheme="minorEastAsia" w:hAnsiTheme="minorEastAsia" w:hint="eastAsia"/>
                <w:szCs w:val="21"/>
              </w:rPr>
              <w:t>家国谈药定点零售</w:t>
            </w:r>
            <w:r w:rsidRPr="001C77A5">
              <w:rPr>
                <w:rFonts w:asciiTheme="minorEastAsia" w:hAnsiTheme="minorEastAsia" w:hint="eastAsia"/>
                <w:szCs w:val="21"/>
              </w:rPr>
              <w:t>药店作为其国谈药约定</w:t>
            </w:r>
            <w:r w:rsidR="00C373E7" w:rsidRPr="001C77A5">
              <w:rPr>
                <w:rFonts w:asciiTheme="minorEastAsia" w:hAnsiTheme="minorEastAsia" w:hint="eastAsia"/>
                <w:szCs w:val="21"/>
              </w:rPr>
              <w:t>医药机构。</w:t>
            </w:r>
          </w:p>
          <w:p w:rsidR="00C373E7" w:rsidRPr="001C77A5" w:rsidRDefault="00964538" w:rsidP="00E44BE9">
            <w:pPr>
              <w:spacing w:line="320" w:lineRule="exact"/>
              <w:rPr>
                <w:rFonts w:asciiTheme="minorEastAsia" w:hAnsiTheme="minorEastAsia"/>
                <w:szCs w:val="21"/>
              </w:rPr>
            </w:pPr>
            <w:r w:rsidRPr="001C77A5">
              <w:rPr>
                <w:rFonts w:asciiTheme="minorEastAsia" w:hAnsiTheme="minorEastAsia" w:hint="eastAsia"/>
                <w:szCs w:val="21"/>
              </w:rPr>
              <w:t>在省内国谈药定点医疗</w:t>
            </w:r>
            <w:r w:rsidR="001C02C5" w:rsidRPr="001C77A5">
              <w:rPr>
                <w:rFonts w:asciiTheme="minorEastAsia" w:hAnsiTheme="minorEastAsia" w:hint="eastAsia"/>
                <w:szCs w:val="21"/>
              </w:rPr>
              <w:t>机构：纳入门特用药范围的国谈药和国谈药门诊专项保障药品可直接划卡</w:t>
            </w:r>
            <w:r w:rsidRPr="001C77A5">
              <w:rPr>
                <w:rFonts w:asciiTheme="minorEastAsia" w:hAnsiTheme="minorEastAsia" w:hint="eastAsia"/>
                <w:szCs w:val="21"/>
              </w:rPr>
              <w:t>结算。</w:t>
            </w:r>
          </w:p>
          <w:p w:rsidR="00964538" w:rsidRPr="001C77A5" w:rsidRDefault="001C02C5" w:rsidP="00E44BE9">
            <w:pPr>
              <w:spacing w:line="320" w:lineRule="exact"/>
              <w:rPr>
                <w:rFonts w:asciiTheme="minorEastAsia" w:hAnsiTheme="minorEastAsia"/>
                <w:szCs w:val="21"/>
              </w:rPr>
            </w:pPr>
            <w:r w:rsidRPr="001C77A5">
              <w:rPr>
                <w:rFonts w:asciiTheme="minorEastAsia" w:hAnsiTheme="minorEastAsia" w:hint="eastAsia"/>
                <w:szCs w:val="21"/>
              </w:rPr>
              <w:t>在省内国谈药定点零售药店：纳入门特用药范围的国谈药需自费垫付后报销，</w:t>
            </w:r>
            <w:r w:rsidR="00EF23F0" w:rsidRPr="001C77A5">
              <w:rPr>
                <w:rFonts w:asciiTheme="minorEastAsia" w:hAnsiTheme="minorEastAsia" w:hint="eastAsia"/>
                <w:szCs w:val="21"/>
              </w:rPr>
              <w:t>国谈药门诊专</w:t>
            </w:r>
            <w:r w:rsidR="00A80401" w:rsidRPr="001C77A5">
              <w:rPr>
                <w:rFonts w:asciiTheme="minorEastAsia" w:hAnsiTheme="minorEastAsia" w:hint="eastAsia"/>
                <w:szCs w:val="21"/>
              </w:rPr>
              <w:t>项保障药品</w:t>
            </w:r>
            <w:r w:rsidR="00964538" w:rsidRPr="001C77A5">
              <w:rPr>
                <w:rFonts w:asciiTheme="minorEastAsia" w:hAnsiTheme="minorEastAsia" w:hint="eastAsia"/>
                <w:szCs w:val="21"/>
              </w:rPr>
              <w:t>可直接划卡结算。</w:t>
            </w:r>
          </w:p>
        </w:tc>
      </w:tr>
      <w:tr w:rsidR="00964538" w:rsidRPr="001C77A5" w:rsidTr="008F0735">
        <w:trPr>
          <w:trHeight w:hRule="exact" w:val="1126"/>
        </w:trPr>
        <w:tc>
          <w:tcPr>
            <w:tcW w:w="1560" w:type="dxa"/>
            <w:vMerge/>
            <w:vAlign w:val="center"/>
          </w:tcPr>
          <w:p w:rsidR="00964538" w:rsidRPr="001C77A5" w:rsidRDefault="00964538" w:rsidP="00663497">
            <w:pPr>
              <w:spacing w:line="320" w:lineRule="exact"/>
              <w:rPr>
                <w:rFonts w:asciiTheme="minorEastAsia" w:hAnsiTheme="minorEastAsia"/>
                <w:szCs w:val="21"/>
              </w:rPr>
            </w:pPr>
          </w:p>
        </w:tc>
        <w:tc>
          <w:tcPr>
            <w:tcW w:w="708" w:type="dxa"/>
            <w:vAlign w:val="center"/>
          </w:tcPr>
          <w:p w:rsidR="00964538" w:rsidRPr="001C77A5" w:rsidRDefault="00964538" w:rsidP="009556A7">
            <w:pPr>
              <w:spacing w:line="320" w:lineRule="exact"/>
              <w:jc w:val="center"/>
              <w:rPr>
                <w:rFonts w:asciiTheme="minorEastAsia" w:hAnsiTheme="minorEastAsia"/>
                <w:szCs w:val="21"/>
              </w:rPr>
            </w:pPr>
            <w:r w:rsidRPr="001C77A5">
              <w:rPr>
                <w:rFonts w:asciiTheme="minorEastAsia" w:hAnsiTheme="minorEastAsia" w:hint="eastAsia"/>
                <w:szCs w:val="21"/>
              </w:rPr>
              <w:t>跨省异地就医</w:t>
            </w:r>
          </w:p>
        </w:tc>
        <w:tc>
          <w:tcPr>
            <w:tcW w:w="6237" w:type="dxa"/>
            <w:vAlign w:val="center"/>
          </w:tcPr>
          <w:p w:rsidR="00964538" w:rsidRPr="001C77A5" w:rsidRDefault="00964538" w:rsidP="00E44BE9">
            <w:pPr>
              <w:spacing w:line="320" w:lineRule="exact"/>
              <w:rPr>
                <w:rFonts w:asciiTheme="minorEastAsia" w:hAnsiTheme="minorEastAsia"/>
                <w:szCs w:val="21"/>
              </w:rPr>
            </w:pPr>
            <w:r w:rsidRPr="001C77A5">
              <w:rPr>
                <w:rFonts w:asciiTheme="minorEastAsia" w:hAnsiTheme="minorEastAsia" w:hint="eastAsia"/>
                <w:szCs w:val="21"/>
              </w:rPr>
              <w:t>参保人员可选择</w:t>
            </w:r>
            <w:r w:rsidR="00A31FAF" w:rsidRPr="001C77A5">
              <w:rPr>
                <w:rFonts w:asciiTheme="minorEastAsia" w:hAnsiTheme="minorEastAsia" w:hint="eastAsia"/>
                <w:szCs w:val="21"/>
              </w:rPr>
              <w:t>1家二级及以上就医地医</w:t>
            </w:r>
            <w:r w:rsidRPr="001C77A5">
              <w:rPr>
                <w:rFonts w:asciiTheme="minorEastAsia" w:hAnsiTheme="minorEastAsia" w:hint="eastAsia"/>
                <w:szCs w:val="21"/>
              </w:rPr>
              <w:t>保定点</w:t>
            </w:r>
            <w:r w:rsidR="00A31FAF" w:rsidRPr="001C77A5">
              <w:rPr>
                <w:rFonts w:asciiTheme="minorEastAsia" w:hAnsiTheme="minorEastAsia" w:hint="eastAsia"/>
                <w:szCs w:val="21"/>
              </w:rPr>
              <w:t>医院作为国谈药定点医</w:t>
            </w:r>
            <w:r w:rsidR="00A80401" w:rsidRPr="001C77A5">
              <w:rPr>
                <w:rFonts w:asciiTheme="minorEastAsia" w:hAnsiTheme="minorEastAsia" w:hint="eastAsia"/>
                <w:szCs w:val="21"/>
              </w:rPr>
              <w:t>院，纳入门特用药范围的国谈药可直接划卡结算，国谈药门诊专项保障药品</w:t>
            </w:r>
            <w:r w:rsidRPr="001C77A5">
              <w:rPr>
                <w:rFonts w:asciiTheme="minorEastAsia" w:hAnsiTheme="minorEastAsia" w:hint="eastAsia"/>
                <w:szCs w:val="21"/>
              </w:rPr>
              <w:t>需自费垫付后报销。</w:t>
            </w:r>
          </w:p>
        </w:tc>
      </w:tr>
    </w:tbl>
    <w:p w:rsidR="00F810AB" w:rsidRPr="001C77A5" w:rsidRDefault="00F810AB" w:rsidP="00F810AB">
      <w:pPr>
        <w:ind w:firstLineChars="200" w:firstLine="640"/>
        <w:rPr>
          <w:rFonts w:ascii="黑体" w:eastAsia="黑体" w:hAnsi="黑体"/>
          <w:sz w:val="32"/>
          <w:szCs w:val="32"/>
        </w:rPr>
      </w:pPr>
      <w:r w:rsidRPr="001C77A5">
        <w:rPr>
          <w:rFonts w:ascii="黑体" w:eastAsia="黑体" w:hAnsi="黑体" w:hint="eastAsia"/>
          <w:sz w:val="32"/>
          <w:szCs w:val="32"/>
        </w:rPr>
        <w:t>六、国谈药药品及定点医药机构名单</w:t>
      </w:r>
    </w:p>
    <w:p w:rsidR="00F810AB" w:rsidRPr="001C77A5" w:rsidRDefault="00F810AB" w:rsidP="00F810AB">
      <w:pPr>
        <w:ind w:firstLineChars="200" w:firstLine="640"/>
        <w:jc w:val="left"/>
        <w:rPr>
          <w:rFonts w:ascii="仿宋_GB2312" w:eastAsia="仿宋_GB2312"/>
          <w:sz w:val="32"/>
          <w:szCs w:val="32"/>
        </w:rPr>
      </w:pPr>
      <w:r w:rsidRPr="001C77A5">
        <w:rPr>
          <w:rFonts w:ascii="仿宋_GB2312" w:eastAsia="仿宋_GB2312" w:hint="eastAsia"/>
          <w:sz w:val="32"/>
          <w:szCs w:val="32"/>
        </w:rPr>
        <w:t>目前苏州市国谈药品和定点医药机构名单请扫描二维码查询，</w:t>
      </w:r>
      <w:r w:rsidRPr="001C77A5">
        <w:rPr>
          <w:rFonts w:ascii="仿宋_GB2312" w:eastAsia="仿宋_GB2312"/>
          <w:sz w:val="32"/>
          <w:szCs w:val="32"/>
        </w:rPr>
        <w:t>也可登录苏州市医疗保障局官网查询（路径：</w:t>
      </w:r>
      <w:r w:rsidRPr="001C77A5">
        <w:rPr>
          <w:rFonts w:ascii="仿宋_GB2312" w:eastAsia="仿宋_GB2312" w:hint="eastAsia"/>
          <w:sz w:val="32"/>
          <w:szCs w:val="32"/>
        </w:rPr>
        <w:t>首页&gt;公共服务&gt;基础目录查询&gt;</w:t>
      </w:r>
      <w:r w:rsidRPr="001C77A5">
        <w:rPr>
          <w:rFonts w:ascii="仿宋_GB2312" w:eastAsia="仿宋_GB2312"/>
          <w:sz w:val="32"/>
          <w:szCs w:val="32"/>
        </w:rPr>
        <w:t>国谈药定点医疗机构及药店、药品目录）。</w:t>
      </w:r>
    </w:p>
    <w:p w:rsidR="00F810AB" w:rsidRPr="001C77A5" w:rsidRDefault="00F810AB" w:rsidP="00F810AB">
      <w:pPr>
        <w:jc w:val="center"/>
        <w:rPr>
          <w:rFonts w:ascii="仿宋_GB2312" w:eastAsia="仿宋_GB2312"/>
          <w:sz w:val="32"/>
          <w:szCs w:val="32"/>
        </w:rPr>
      </w:pPr>
      <w:r w:rsidRPr="001C77A5">
        <w:rPr>
          <w:rFonts w:ascii="仿宋_GB2312" w:eastAsia="仿宋_GB2312"/>
          <w:noProof/>
          <w:sz w:val="32"/>
          <w:szCs w:val="32"/>
        </w:rPr>
        <w:drawing>
          <wp:inline distT="0" distB="0" distL="0" distR="0">
            <wp:extent cx="1171575" cy="1171575"/>
            <wp:effectExtent l="19050" t="0" r="9525" b="0"/>
            <wp:docPr id="4" name="图片 0" descr="国谈药定点医疗机构及药店，药品目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国谈药定点医疗机构及药店，药品目录.png"/>
                    <pic:cNvPicPr/>
                  </pic:nvPicPr>
                  <pic:blipFill>
                    <a:blip r:embed="rId7" cstate="print"/>
                    <a:stretch>
                      <a:fillRect/>
                    </a:stretch>
                  </pic:blipFill>
                  <pic:spPr>
                    <a:xfrm>
                      <a:off x="0" y="0"/>
                      <a:ext cx="1171437" cy="1171437"/>
                    </a:xfrm>
                    <a:prstGeom prst="rect">
                      <a:avLst/>
                    </a:prstGeom>
                  </pic:spPr>
                </pic:pic>
              </a:graphicData>
            </a:graphic>
          </wp:inline>
        </w:drawing>
      </w:r>
    </w:p>
    <w:p w:rsidR="00E10DE3" w:rsidRPr="001C77A5" w:rsidRDefault="00094818">
      <w:pPr>
        <w:spacing w:line="560" w:lineRule="exact"/>
        <w:ind w:firstLineChars="200" w:firstLine="640"/>
        <w:rPr>
          <w:rFonts w:ascii="黑体" w:eastAsia="黑体" w:hAnsi="黑体"/>
          <w:sz w:val="32"/>
          <w:szCs w:val="32"/>
        </w:rPr>
      </w:pPr>
      <w:r w:rsidRPr="001C77A5">
        <w:rPr>
          <w:rFonts w:ascii="黑体" w:eastAsia="黑体" w:hAnsi="黑体" w:hint="eastAsia"/>
          <w:sz w:val="32"/>
          <w:szCs w:val="32"/>
        </w:rPr>
        <w:t>七、表格下载</w:t>
      </w:r>
    </w:p>
    <w:p w:rsidR="00E10DE3" w:rsidRPr="001C77A5" w:rsidRDefault="00094818">
      <w:pPr>
        <w:spacing w:line="560" w:lineRule="exact"/>
        <w:ind w:firstLineChars="200" w:firstLine="640"/>
        <w:rPr>
          <w:rFonts w:ascii="仿宋_GB2312" w:eastAsia="仿宋_GB2312"/>
          <w:sz w:val="32"/>
          <w:szCs w:val="32"/>
        </w:rPr>
      </w:pPr>
      <w:r w:rsidRPr="001C77A5">
        <w:rPr>
          <w:rFonts w:ascii="仿宋_GB2312" w:eastAsia="仿宋_GB2312" w:hint="eastAsia"/>
          <w:sz w:val="32"/>
          <w:szCs w:val="32"/>
        </w:rPr>
        <w:lastRenderedPageBreak/>
        <w:t>参保患者“双通道”管理及单独支付药品用药申请表</w:t>
      </w:r>
    </w:p>
    <w:p w:rsidR="00E10DE3" w:rsidRPr="001C77A5" w:rsidRDefault="00094818">
      <w:pPr>
        <w:ind w:firstLineChars="200" w:firstLine="420"/>
        <w:jc w:val="center"/>
        <w:rPr>
          <w:rFonts w:ascii="仿宋_GB2312" w:eastAsia="仿宋_GB2312"/>
          <w:sz w:val="32"/>
          <w:szCs w:val="32"/>
        </w:rPr>
      </w:pPr>
      <w:r w:rsidRPr="001C77A5">
        <w:rPr>
          <w:noProof/>
        </w:rPr>
        <w:drawing>
          <wp:inline distT="0" distB="0" distL="0" distR="0">
            <wp:extent cx="1104900" cy="1104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102464" cy="1102464"/>
                    </a:xfrm>
                    <a:prstGeom prst="rect">
                      <a:avLst/>
                    </a:prstGeom>
                    <a:noFill/>
                    <a:ln>
                      <a:noFill/>
                    </a:ln>
                  </pic:spPr>
                </pic:pic>
              </a:graphicData>
            </a:graphic>
          </wp:inline>
        </w:drawing>
      </w:r>
    </w:p>
    <w:p w:rsidR="00E10DE3" w:rsidRPr="001C77A5" w:rsidRDefault="00094818">
      <w:pPr>
        <w:spacing w:line="560" w:lineRule="exact"/>
        <w:ind w:firstLineChars="200" w:firstLine="640"/>
        <w:rPr>
          <w:rFonts w:ascii="仿宋_GB2312" w:eastAsia="仿宋_GB2312"/>
          <w:sz w:val="32"/>
          <w:szCs w:val="32"/>
        </w:rPr>
      </w:pPr>
      <w:r w:rsidRPr="001C77A5">
        <w:rPr>
          <w:rFonts w:ascii="仿宋_GB2312" w:eastAsia="仿宋_GB2312" w:hint="eastAsia"/>
          <w:sz w:val="32"/>
          <w:szCs w:val="32"/>
        </w:rPr>
        <w:t>参保患者“双通道”管理及单独支付药品使用评估表</w:t>
      </w:r>
    </w:p>
    <w:p w:rsidR="00E10DE3" w:rsidRPr="001C77A5" w:rsidRDefault="00094818">
      <w:pPr>
        <w:ind w:firstLineChars="200" w:firstLine="420"/>
        <w:jc w:val="center"/>
        <w:rPr>
          <w:rFonts w:ascii="仿宋_GB2312" w:eastAsia="仿宋_GB2312"/>
          <w:sz w:val="32"/>
          <w:szCs w:val="32"/>
        </w:rPr>
      </w:pPr>
      <w:r w:rsidRPr="001C77A5">
        <w:rPr>
          <w:noProof/>
        </w:rPr>
        <w:drawing>
          <wp:inline distT="0" distB="0" distL="0" distR="0">
            <wp:extent cx="1133475" cy="11334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135260" cy="1135260"/>
                    </a:xfrm>
                    <a:prstGeom prst="rect">
                      <a:avLst/>
                    </a:prstGeom>
                    <a:noFill/>
                    <a:ln>
                      <a:noFill/>
                    </a:ln>
                  </pic:spPr>
                </pic:pic>
              </a:graphicData>
            </a:graphic>
          </wp:inline>
        </w:drawing>
      </w:r>
    </w:p>
    <w:p w:rsidR="00E10DE3" w:rsidRPr="001C77A5" w:rsidRDefault="00E10DE3">
      <w:pPr>
        <w:spacing w:line="560" w:lineRule="exact"/>
        <w:rPr>
          <w:rFonts w:ascii="仿宋_GB2312" w:eastAsia="仿宋_GB2312" w:hAnsi="仿宋_GB2312" w:cs="仿宋_GB2312"/>
          <w:sz w:val="32"/>
          <w:szCs w:val="32"/>
          <w:shd w:val="clear" w:color="auto" w:fill="FFFFFF"/>
        </w:rPr>
      </w:pPr>
      <w:bookmarkStart w:id="0" w:name="_GoBack"/>
      <w:bookmarkEnd w:id="0"/>
    </w:p>
    <w:p w:rsidR="00E10DE3" w:rsidRPr="001C77A5" w:rsidRDefault="00642C2E">
      <w:pPr>
        <w:spacing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noProof/>
          <w:sz w:val="32"/>
          <w:szCs w:val="32"/>
        </w:rPr>
        <w:drawing>
          <wp:anchor distT="0" distB="0" distL="114300" distR="114300" simplePos="0" relativeHeight="251659264" behindDoc="0" locked="0" layoutInCell="1" allowOverlap="1">
            <wp:simplePos x="0" y="0"/>
            <wp:positionH relativeFrom="column">
              <wp:posOffset>2110740</wp:posOffset>
            </wp:positionH>
            <wp:positionV relativeFrom="paragraph">
              <wp:posOffset>179070</wp:posOffset>
            </wp:positionV>
            <wp:extent cx="1419225" cy="1419225"/>
            <wp:effectExtent l="19050" t="0" r="9525" b="0"/>
            <wp:wrapTopAndBottom/>
            <wp:docPr id="1" name="图片 1" descr="“吴江医保”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吴江医保”二维码"/>
                    <pic:cNvPicPr>
                      <a:picLocks noChangeAspect="1"/>
                    </pic:cNvPicPr>
                  </pic:nvPicPr>
                  <pic:blipFill>
                    <a:blip r:embed="rId10"/>
                    <a:stretch>
                      <a:fillRect/>
                    </a:stretch>
                  </pic:blipFill>
                  <pic:spPr>
                    <a:xfrm>
                      <a:off x="0" y="0"/>
                      <a:ext cx="1419225" cy="1419225"/>
                    </a:xfrm>
                    <a:prstGeom prst="rect">
                      <a:avLst/>
                    </a:prstGeom>
                  </pic:spPr>
                </pic:pic>
              </a:graphicData>
            </a:graphic>
          </wp:anchor>
        </w:drawing>
      </w:r>
    </w:p>
    <w:p w:rsidR="00E10DE3" w:rsidRPr="001C77A5" w:rsidRDefault="00094818">
      <w:pPr>
        <w:spacing w:line="560" w:lineRule="exact"/>
        <w:rPr>
          <w:rFonts w:ascii="仿宋_GB2312" w:eastAsia="仿宋_GB2312" w:hAnsi="仿宋_GB2312" w:cs="仿宋_GB2312"/>
          <w:sz w:val="32"/>
          <w:szCs w:val="32"/>
          <w:shd w:val="clear" w:color="auto" w:fill="FFFFFF"/>
        </w:rPr>
      </w:pPr>
      <w:r w:rsidRPr="001C77A5">
        <w:rPr>
          <w:rFonts w:ascii="仿宋_GB2312" w:eastAsia="仿宋_GB2312" w:hAnsi="仿宋_GB2312" w:cs="仿宋_GB2312" w:hint="eastAsia"/>
          <w:sz w:val="32"/>
          <w:szCs w:val="32"/>
          <w:shd w:val="clear" w:color="auto" w:fill="FFFFFF"/>
        </w:rPr>
        <w:t>更多政策资讯及便民服务请关注“吴江医保”微信公众号</w:t>
      </w:r>
    </w:p>
    <w:p w:rsidR="00E10DE3" w:rsidRPr="001C77A5" w:rsidRDefault="00094818">
      <w:pPr>
        <w:spacing w:line="560" w:lineRule="exact"/>
        <w:rPr>
          <w:rFonts w:ascii="仿宋_GB2312" w:eastAsia="仿宋_GB2312" w:hAnsi="仿宋_GB2312" w:cs="仿宋_GB2312"/>
          <w:sz w:val="32"/>
          <w:szCs w:val="32"/>
          <w:shd w:val="clear" w:color="auto" w:fill="FFFFFF"/>
        </w:rPr>
      </w:pPr>
      <w:r w:rsidRPr="001C77A5">
        <w:rPr>
          <w:rFonts w:ascii="仿宋_GB2312" w:eastAsia="仿宋_GB2312" w:hAnsi="仿宋_GB2312" w:cs="仿宋_GB2312" w:hint="eastAsia"/>
          <w:sz w:val="32"/>
          <w:szCs w:val="32"/>
          <w:shd w:val="clear" w:color="auto" w:fill="FFFFFF"/>
        </w:rPr>
        <w:t>单位地址：苏州市吴江区开平路300号</w:t>
      </w:r>
    </w:p>
    <w:sectPr w:rsidR="00E10DE3" w:rsidRPr="001C77A5" w:rsidSect="00E10DE3">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36C" w:rsidRDefault="0059536C" w:rsidP="0090641A">
      <w:r>
        <w:separator/>
      </w:r>
    </w:p>
  </w:endnote>
  <w:endnote w:type="continuationSeparator" w:id="1">
    <w:p w:rsidR="0059536C" w:rsidRDefault="0059536C" w:rsidP="009064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36C" w:rsidRDefault="0059536C" w:rsidP="0090641A">
      <w:r>
        <w:separator/>
      </w:r>
    </w:p>
  </w:footnote>
  <w:footnote w:type="continuationSeparator" w:id="1">
    <w:p w:rsidR="0059536C" w:rsidRDefault="0059536C" w:rsidP="009064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DE6"/>
    <w:rsid w:val="0000688C"/>
    <w:rsid w:val="0001041F"/>
    <w:rsid w:val="000249C4"/>
    <w:rsid w:val="00026B25"/>
    <w:rsid w:val="0003633F"/>
    <w:rsid w:val="00037474"/>
    <w:rsid w:val="0004185E"/>
    <w:rsid w:val="00044E9A"/>
    <w:rsid w:val="000516C7"/>
    <w:rsid w:val="0005522F"/>
    <w:rsid w:val="00057764"/>
    <w:rsid w:val="0006031E"/>
    <w:rsid w:val="00063D3F"/>
    <w:rsid w:val="00065C9F"/>
    <w:rsid w:val="00073A83"/>
    <w:rsid w:val="0008107D"/>
    <w:rsid w:val="00082D43"/>
    <w:rsid w:val="00084A23"/>
    <w:rsid w:val="0009007A"/>
    <w:rsid w:val="00094818"/>
    <w:rsid w:val="00094F60"/>
    <w:rsid w:val="000A039A"/>
    <w:rsid w:val="000A75A0"/>
    <w:rsid w:val="000C5649"/>
    <w:rsid w:val="000D2753"/>
    <w:rsid w:val="000D624F"/>
    <w:rsid w:val="000F3A69"/>
    <w:rsid w:val="00113F32"/>
    <w:rsid w:val="00123B79"/>
    <w:rsid w:val="00135C90"/>
    <w:rsid w:val="00153BF9"/>
    <w:rsid w:val="00174C95"/>
    <w:rsid w:val="001752AC"/>
    <w:rsid w:val="001771BB"/>
    <w:rsid w:val="001A09AD"/>
    <w:rsid w:val="001A0C42"/>
    <w:rsid w:val="001B2C11"/>
    <w:rsid w:val="001B7165"/>
    <w:rsid w:val="001C02C5"/>
    <w:rsid w:val="001C28C5"/>
    <w:rsid w:val="001C77A5"/>
    <w:rsid w:val="001D0298"/>
    <w:rsid w:val="001D08D4"/>
    <w:rsid w:val="001E17F4"/>
    <w:rsid w:val="001E75D0"/>
    <w:rsid w:val="001F037B"/>
    <w:rsid w:val="002028CC"/>
    <w:rsid w:val="0020516D"/>
    <w:rsid w:val="00207368"/>
    <w:rsid w:val="00207F28"/>
    <w:rsid w:val="00215D22"/>
    <w:rsid w:val="00226496"/>
    <w:rsid w:val="00233139"/>
    <w:rsid w:val="00237A74"/>
    <w:rsid w:val="00246546"/>
    <w:rsid w:val="00255085"/>
    <w:rsid w:val="002618CB"/>
    <w:rsid w:val="00273C3B"/>
    <w:rsid w:val="00276530"/>
    <w:rsid w:val="002B1AA1"/>
    <w:rsid w:val="002C7BD6"/>
    <w:rsid w:val="002D6A7D"/>
    <w:rsid w:val="002E0A3A"/>
    <w:rsid w:val="002F47F8"/>
    <w:rsid w:val="002F6132"/>
    <w:rsid w:val="00311F8B"/>
    <w:rsid w:val="00323E6F"/>
    <w:rsid w:val="00324735"/>
    <w:rsid w:val="00324E31"/>
    <w:rsid w:val="003302F3"/>
    <w:rsid w:val="003353A1"/>
    <w:rsid w:val="00335DB0"/>
    <w:rsid w:val="00345C53"/>
    <w:rsid w:val="00347399"/>
    <w:rsid w:val="00354A4D"/>
    <w:rsid w:val="003605E9"/>
    <w:rsid w:val="00372FE2"/>
    <w:rsid w:val="00376E81"/>
    <w:rsid w:val="003A3B7D"/>
    <w:rsid w:val="003A5812"/>
    <w:rsid w:val="003B6050"/>
    <w:rsid w:val="003F7C33"/>
    <w:rsid w:val="00411213"/>
    <w:rsid w:val="004219EA"/>
    <w:rsid w:val="004222C4"/>
    <w:rsid w:val="00424CA0"/>
    <w:rsid w:val="00446246"/>
    <w:rsid w:val="004466D5"/>
    <w:rsid w:val="00447B7E"/>
    <w:rsid w:val="00450684"/>
    <w:rsid w:val="0045107E"/>
    <w:rsid w:val="004519E5"/>
    <w:rsid w:val="004638EB"/>
    <w:rsid w:val="00472334"/>
    <w:rsid w:val="004A040C"/>
    <w:rsid w:val="004A4583"/>
    <w:rsid w:val="004A4C5A"/>
    <w:rsid w:val="004B61FC"/>
    <w:rsid w:val="004B7D12"/>
    <w:rsid w:val="004C32D2"/>
    <w:rsid w:val="004D069D"/>
    <w:rsid w:val="004E02F1"/>
    <w:rsid w:val="004F7C97"/>
    <w:rsid w:val="00504A9C"/>
    <w:rsid w:val="00505EC2"/>
    <w:rsid w:val="00510728"/>
    <w:rsid w:val="00511448"/>
    <w:rsid w:val="005170EA"/>
    <w:rsid w:val="00524967"/>
    <w:rsid w:val="00530677"/>
    <w:rsid w:val="00533C4A"/>
    <w:rsid w:val="00535AB9"/>
    <w:rsid w:val="005368CE"/>
    <w:rsid w:val="00537E16"/>
    <w:rsid w:val="0054308D"/>
    <w:rsid w:val="0055058E"/>
    <w:rsid w:val="00563C09"/>
    <w:rsid w:val="00565A8C"/>
    <w:rsid w:val="0059536C"/>
    <w:rsid w:val="005B1ABB"/>
    <w:rsid w:val="005B2358"/>
    <w:rsid w:val="005B5C99"/>
    <w:rsid w:val="005C0CFD"/>
    <w:rsid w:val="005D1116"/>
    <w:rsid w:val="005D1D8D"/>
    <w:rsid w:val="005D2E73"/>
    <w:rsid w:val="005E0528"/>
    <w:rsid w:val="005F1F41"/>
    <w:rsid w:val="005F5472"/>
    <w:rsid w:val="005F5AB9"/>
    <w:rsid w:val="005F6323"/>
    <w:rsid w:val="00601395"/>
    <w:rsid w:val="00605111"/>
    <w:rsid w:val="00605F4E"/>
    <w:rsid w:val="00606E19"/>
    <w:rsid w:val="00614CF1"/>
    <w:rsid w:val="0061770B"/>
    <w:rsid w:val="006213A8"/>
    <w:rsid w:val="00627D2E"/>
    <w:rsid w:val="006357E2"/>
    <w:rsid w:val="00642C2E"/>
    <w:rsid w:val="00652999"/>
    <w:rsid w:val="00653822"/>
    <w:rsid w:val="00663497"/>
    <w:rsid w:val="0069780D"/>
    <w:rsid w:val="006A0938"/>
    <w:rsid w:val="006A0E8C"/>
    <w:rsid w:val="006A470C"/>
    <w:rsid w:val="006A6BF1"/>
    <w:rsid w:val="006B15F6"/>
    <w:rsid w:val="006D1EF5"/>
    <w:rsid w:val="00712DB0"/>
    <w:rsid w:val="00723212"/>
    <w:rsid w:val="00726140"/>
    <w:rsid w:val="0073384F"/>
    <w:rsid w:val="0074186E"/>
    <w:rsid w:val="00770BE4"/>
    <w:rsid w:val="00774A95"/>
    <w:rsid w:val="00774E5E"/>
    <w:rsid w:val="00780FD1"/>
    <w:rsid w:val="00783375"/>
    <w:rsid w:val="00786A63"/>
    <w:rsid w:val="00795136"/>
    <w:rsid w:val="007B0A53"/>
    <w:rsid w:val="007B1A09"/>
    <w:rsid w:val="007B471B"/>
    <w:rsid w:val="007B7E22"/>
    <w:rsid w:val="007D2536"/>
    <w:rsid w:val="007D5EEE"/>
    <w:rsid w:val="007E77B8"/>
    <w:rsid w:val="007E7BCB"/>
    <w:rsid w:val="008136B8"/>
    <w:rsid w:val="00824C92"/>
    <w:rsid w:val="00833802"/>
    <w:rsid w:val="008476BA"/>
    <w:rsid w:val="008617D1"/>
    <w:rsid w:val="00865CA9"/>
    <w:rsid w:val="00876D9A"/>
    <w:rsid w:val="00876E30"/>
    <w:rsid w:val="008823D1"/>
    <w:rsid w:val="008962FF"/>
    <w:rsid w:val="008A03D6"/>
    <w:rsid w:val="008C07B9"/>
    <w:rsid w:val="008D2DB1"/>
    <w:rsid w:val="008E3199"/>
    <w:rsid w:val="008E3A1C"/>
    <w:rsid w:val="008F0735"/>
    <w:rsid w:val="008F145E"/>
    <w:rsid w:val="008F70C4"/>
    <w:rsid w:val="009041F5"/>
    <w:rsid w:val="0090641A"/>
    <w:rsid w:val="00926ED9"/>
    <w:rsid w:val="009278B4"/>
    <w:rsid w:val="009509E5"/>
    <w:rsid w:val="009556A7"/>
    <w:rsid w:val="0096046F"/>
    <w:rsid w:val="00960C48"/>
    <w:rsid w:val="00964538"/>
    <w:rsid w:val="0097029D"/>
    <w:rsid w:val="00972FD1"/>
    <w:rsid w:val="00974B36"/>
    <w:rsid w:val="00980628"/>
    <w:rsid w:val="00981C4C"/>
    <w:rsid w:val="00983AA1"/>
    <w:rsid w:val="0099117B"/>
    <w:rsid w:val="00995D2C"/>
    <w:rsid w:val="009A4750"/>
    <w:rsid w:val="009B0FFC"/>
    <w:rsid w:val="009B545A"/>
    <w:rsid w:val="009C2A8E"/>
    <w:rsid w:val="009C5BDB"/>
    <w:rsid w:val="009D0A42"/>
    <w:rsid w:val="009D20A2"/>
    <w:rsid w:val="009D2B44"/>
    <w:rsid w:val="009D7194"/>
    <w:rsid w:val="009F3E8F"/>
    <w:rsid w:val="00A276DA"/>
    <w:rsid w:val="00A31FAF"/>
    <w:rsid w:val="00A32D15"/>
    <w:rsid w:val="00A3497B"/>
    <w:rsid w:val="00A57905"/>
    <w:rsid w:val="00A77FFA"/>
    <w:rsid w:val="00A80401"/>
    <w:rsid w:val="00A90593"/>
    <w:rsid w:val="00A92B29"/>
    <w:rsid w:val="00AA3BB1"/>
    <w:rsid w:val="00AB1E13"/>
    <w:rsid w:val="00AB1F5F"/>
    <w:rsid w:val="00AC38BE"/>
    <w:rsid w:val="00AC47D9"/>
    <w:rsid w:val="00AC5C91"/>
    <w:rsid w:val="00AD6EAD"/>
    <w:rsid w:val="00AD6FF5"/>
    <w:rsid w:val="00AE5078"/>
    <w:rsid w:val="00AF7372"/>
    <w:rsid w:val="00B01ECE"/>
    <w:rsid w:val="00B03F50"/>
    <w:rsid w:val="00B11A72"/>
    <w:rsid w:val="00B151E3"/>
    <w:rsid w:val="00B211BF"/>
    <w:rsid w:val="00B24EFB"/>
    <w:rsid w:val="00B37DE6"/>
    <w:rsid w:val="00B4172B"/>
    <w:rsid w:val="00B47FAD"/>
    <w:rsid w:val="00B5475C"/>
    <w:rsid w:val="00B63242"/>
    <w:rsid w:val="00B658CC"/>
    <w:rsid w:val="00B67F06"/>
    <w:rsid w:val="00B70403"/>
    <w:rsid w:val="00B71F79"/>
    <w:rsid w:val="00B72167"/>
    <w:rsid w:val="00B743E8"/>
    <w:rsid w:val="00B75848"/>
    <w:rsid w:val="00B77345"/>
    <w:rsid w:val="00B82F6F"/>
    <w:rsid w:val="00B83325"/>
    <w:rsid w:val="00B87A45"/>
    <w:rsid w:val="00BA46F2"/>
    <w:rsid w:val="00BC59B8"/>
    <w:rsid w:val="00BD069E"/>
    <w:rsid w:val="00BD2860"/>
    <w:rsid w:val="00BD66D4"/>
    <w:rsid w:val="00BE001C"/>
    <w:rsid w:val="00BF29FB"/>
    <w:rsid w:val="00BF7410"/>
    <w:rsid w:val="00BF798E"/>
    <w:rsid w:val="00C200F0"/>
    <w:rsid w:val="00C373E7"/>
    <w:rsid w:val="00C44CB7"/>
    <w:rsid w:val="00C563F5"/>
    <w:rsid w:val="00C5796F"/>
    <w:rsid w:val="00C5798B"/>
    <w:rsid w:val="00C65F9C"/>
    <w:rsid w:val="00C75A3E"/>
    <w:rsid w:val="00C83028"/>
    <w:rsid w:val="00C84C15"/>
    <w:rsid w:val="00CA4E6F"/>
    <w:rsid w:val="00CB12AD"/>
    <w:rsid w:val="00CB6454"/>
    <w:rsid w:val="00CC2657"/>
    <w:rsid w:val="00CD0799"/>
    <w:rsid w:val="00CD14F8"/>
    <w:rsid w:val="00CE07E8"/>
    <w:rsid w:val="00CE1A73"/>
    <w:rsid w:val="00CF1DDA"/>
    <w:rsid w:val="00D15B6F"/>
    <w:rsid w:val="00D34716"/>
    <w:rsid w:val="00D43A87"/>
    <w:rsid w:val="00D562BB"/>
    <w:rsid w:val="00D56D6B"/>
    <w:rsid w:val="00D85C72"/>
    <w:rsid w:val="00D96B9C"/>
    <w:rsid w:val="00DA3F43"/>
    <w:rsid w:val="00DB7AAD"/>
    <w:rsid w:val="00DC5E3A"/>
    <w:rsid w:val="00DD04DE"/>
    <w:rsid w:val="00DF01D3"/>
    <w:rsid w:val="00E068D7"/>
    <w:rsid w:val="00E06B98"/>
    <w:rsid w:val="00E1052C"/>
    <w:rsid w:val="00E10DE3"/>
    <w:rsid w:val="00E12A95"/>
    <w:rsid w:val="00E131A6"/>
    <w:rsid w:val="00E17AE3"/>
    <w:rsid w:val="00E34E70"/>
    <w:rsid w:val="00E44BE9"/>
    <w:rsid w:val="00E468D3"/>
    <w:rsid w:val="00E54355"/>
    <w:rsid w:val="00E61298"/>
    <w:rsid w:val="00E61B3D"/>
    <w:rsid w:val="00E7342A"/>
    <w:rsid w:val="00E77A66"/>
    <w:rsid w:val="00E847F0"/>
    <w:rsid w:val="00E8595F"/>
    <w:rsid w:val="00E86435"/>
    <w:rsid w:val="00E9001F"/>
    <w:rsid w:val="00E918AA"/>
    <w:rsid w:val="00E962EA"/>
    <w:rsid w:val="00EA06F9"/>
    <w:rsid w:val="00EB400B"/>
    <w:rsid w:val="00ED6340"/>
    <w:rsid w:val="00ED6424"/>
    <w:rsid w:val="00ED6439"/>
    <w:rsid w:val="00EE1659"/>
    <w:rsid w:val="00EE2190"/>
    <w:rsid w:val="00EE2918"/>
    <w:rsid w:val="00EE540E"/>
    <w:rsid w:val="00EF1C8F"/>
    <w:rsid w:val="00EF23F0"/>
    <w:rsid w:val="00EF5250"/>
    <w:rsid w:val="00EF7271"/>
    <w:rsid w:val="00F0024E"/>
    <w:rsid w:val="00F10F37"/>
    <w:rsid w:val="00F148D4"/>
    <w:rsid w:val="00F2195C"/>
    <w:rsid w:val="00F33E98"/>
    <w:rsid w:val="00F36DDA"/>
    <w:rsid w:val="00F402C0"/>
    <w:rsid w:val="00F40AC7"/>
    <w:rsid w:val="00F5438C"/>
    <w:rsid w:val="00F745D8"/>
    <w:rsid w:val="00F80174"/>
    <w:rsid w:val="00F806B4"/>
    <w:rsid w:val="00F810AB"/>
    <w:rsid w:val="00F90F3A"/>
    <w:rsid w:val="00FA419A"/>
    <w:rsid w:val="00FC0AF5"/>
    <w:rsid w:val="00FD2E2C"/>
    <w:rsid w:val="00FD36E6"/>
    <w:rsid w:val="00FD646C"/>
    <w:rsid w:val="00FE796E"/>
    <w:rsid w:val="00FF032C"/>
    <w:rsid w:val="1FDA6BE5"/>
    <w:rsid w:val="71482E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D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10DE3"/>
    <w:rPr>
      <w:sz w:val="18"/>
      <w:szCs w:val="18"/>
    </w:rPr>
  </w:style>
  <w:style w:type="paragraph" w:styleId="a4">
    <w:name w:val="footer"/>
    <w:basedOn w:val="a"/>
    <w:link w:val="Char0"/>
    <w:uiPriority w:val="99"/>
    <w:unhideWhenUsed/>
    <w:rsid w:val="00E10DE3"/>
    <w:pPr>
      <w:tabs>
        <w:tab w:val="center" w:pos="4153"/>
        <w:tab w:val="right" w:pos="8306"/>
      </w:tabs>
      <w:snapToGrid w:val="0"/>
      <w:jc w:val="left"/>
    </w:pPr>
    <w:rPr>
      <w:sz w:val="18"/>
      <w:szCs w:val="18"/>
    </w:rPr>
  </w:style>
  <w:style w:type="paragraph" w:styleId="a5">
    <w:name w:val="header"/>
    <w:basedOn w:val="a"/>
    <w:link w:val="Char1"/>
    <w:uiPriority w:val="99"/>
    <w:unhideWhenUsed/>
    <w:rsid w:val="00E10DE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10D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rsid w:val="00E10DE3"/>
    <w:rPr>
      <w:sz w:val="18"/>
      <w:szCs w:val="18"/>
    </w:rPr>
  </w:style>
  <w:style w:type="character" w:customStyle="1" w:styleId="Char0">
    <w:name w:val="页脚 Char"/>
    <w:basedOn w:val="a0"/>
    <w:link w:val="a4"/>
    <w:uiPriority w:val="99"/>
    <w:rsid w:val="00E10DE3"/>
    <w:rPr>
      <w:sz w:val="18"/>
      <w:szCs w:val="18"/>
    </w:rPr>
  </w:style>
  <w:style w:type="paragraph" w:styleId="a7">
    <w:name w:val="List Paragraph"/>
    <w:basedOn w:val="a"/>
    <w:uiPriority w:val="34"/>
    <w:qFormat/>
    <w:rsid w:val="00E10DE3"/>
    <w:pPr>
      <w:ind w:firstLineChars="200" w:firstLine="420"/>
    </w:pPr>
  </w:style>
  <w:style w:type="character" w:customStyle="1" w:styleId="Char">
    <w:name w:val="批注框文本 Char"/>
    <w:basedOn w:val="a0"/>
    <w:link w:val="a3"/>
    <w:uiPriority w:val="99"/>
    <w:semiHidden/>
    <w:qFormat/>
    <w:rsid w:val="00E10DE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A467-BB22-4E20-8D5F-5EDC61441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398</Words>
  <Characters>2273</Characters>
  <Application>Microsoft Office Word</Application>
  <DocSecurity>0</DocSecurity>
  <Lines>18</Lines>
  <Paragraphs>5</Paragraphs>
  <ScaleCrop>false</ScaleCrop>
  <Company>Microsoft</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201</cp:revision>
  <cp:lastPrinted>2022-01-24T01:13:00Z</cp:lastPrinted>
  <dcterms:created xsi:type="dcterms:W3CDTF">2024-12-19T07:05:00Z</dcterms:created>
  <dcterms:modified xsi:type="dcterms:W3CDTF">2025-06-11T01:57:00Z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eyJoZGlkIjoiMjU3MWZiYjlhMWM0OWQ4MWVhYTE0YTczYTg2Y2NhNjkiLCJ1c2VySWQiOiIzNzc4ODY4MzcifQ==</vt:lpwstr>
  </property>
  <property fmtid="{D5CDD505-2E9C-101B-9397-08002B2CF9AE}" pid="3" name="KSOProductBuildVer">
    <vt:lpwstr>2052-12.1.0.20305</vt:lpwstr>
  </property>
  <property fmtid="{D5CDD505-2E9C-101B-9397-08002B2CF9AE}" pid="4" name="ICV">
    <vt:lpwstr>5124773DF64E4B8BAD5887ACE5545DEA_12</vt:lpwstr>
  </property>
</Properties>
</file>